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361A" w14:textId="79C82CDD" w:rsidR="00BC502E" w:rsidRPr="006E4D8B" w:rsidRDefault="008B6EDA" w:rsidP="008B6EDA">
      <w:pPr>
        <w:jc w:val="both"/>
        <w:rPr>
          <w:rFonts w:ascii="Century Gothic" w:hAnsi="Century Gothic"/>
        </w:rPr>
      </w:pPr>
      <w:r w:rsidRPr="006E4D8B">
        <w:rPr>
          <w:rFonts w:ascii="Century Gothic" w:hAnsi="Century Gothic"/>
        </w:rPr>
        <w:t xml:space="preserve">Afin de </w:t>
      </w:r>
      <w:r w:rsidR="00CE45D1" w:rsidRPr="006E4D8B">
        <w:rPr>
          <w:rFonts w:ascii="Century Gothic" w:hAnsi="Century Gothic"/>
        </w:rPr>
        <w:t>permettre à l’autorité publique de répondre de manière adaptée aux enjeux en matière de gestion des implantations commerciale</w:t>
      </w:r>
      <w:r w:rsidR="007B404A">
        <w:rPr>
          <w:rFonts w:ascii="Century Gothic" w:hAnsi="Century Gothic"/>
        </w:rPr>
        <w:t>s</w:t>
      </w:r>
      <w:r w:rsidR="00CE45D1" w:rsidRPr="006E4D8B">
        <w:rPr>
          <w:rFonts w:ascii="Century Gothic" w:hAnsi="Century Gothic"/>
        </w:rPr>
        <w:t xml:space="preserve"> introduits par l’adoption du nouveau Schéma de Développement du Territoire (SDT) et à l’actualisation du Code du Développement </w:t>
      </w:r>
      <w:r w:rsidR="00CB55A7">
        <w:rPr>
          <w:rFonts w:ascii="Century Gothic" w:hAnsi="Century Gothic"/>
        </w:rPr>
        <w:t>T</w:t>
      </w:r>
      <w:r w:rsidR="00CE45D1" w:rsidRPr="006E4D8B">
        <w:rPr>
          <w:rFonts w:ascii="Century Gothic" w:hAnsi="Century Gothic"/>
        </w:rPr>
        <w:t>erritorial (</w:t>
      </w:r>
      <w:proofErr w:type="spellStart"/>
      <w:r w:rsidR="00CE45D1" w:rsidRPr="006E4D8B">
        <w:rPr>
          <w:rFonts w:ascii="Century Gothic" w:hAnsi="Century Gothic"/>
        </w:rPr>
        <w:t>CoDT</w:t>
      </w:r>
      <w:proofErr w:type="spellEnd"/>
      <w:r w:rsidR="00CE45D1" w:rsidRPr="006E4D8B">
        <w:rPr>
          <w:rFonts w:ascii="Century Gothic" w:hAnsi="Century Gothic"/>
        </w:rPr>
        <w:t>)</w:t>
      </w:r>
      <w:r w:rsidR="0038745F" w:rsidRPr="006E4D8B">
        <w:rPr>
          <w:rFonts w:ascii="Century Gothic" w:hAnsi="Century Gothic"/>
        </w:rPr>
        <w:t>,</w:t>
      </w:r>
      <w:r w:rsidRPr="006E4D8B">
        <w:rPr>
          <w:rFonts w:ascii="Century Gothic" w:hAnsi="Century Gothic"/>
        </w:rPr>
        <w:t xml:space="preserve"> </w:t>
      </w:r>
      <w:r w:rsidR="00030D7B" w:rsidRPr="006E4D8B">
        <w:rPr>
          <w:rFonts w:ascii="Century Gothic" w:hAnsi="Century Gothic"/>
        </w:rPr>
        <w:t>l</w:t>
      </w:r>
      <w:r w:rsidR="00871F5F" w:rsidRPr="006E4D8B">
        <w:rPr>
          <w:rFonts w:ascii="Century Gothic" w:hAnsi="Century Gothic"/>
        </w:rPr>
        <w:t xml:space="preserve">e </w:t>
      </w:r>
      <w:r w:rsidR="00730D2C" w:rsidRPr="006E4D8B">
        <w:rPr>
          <w:rFonts w:ascii="Century Gothic" w:hAnsi="Century Gothic"/>
        </w:rPr>
        <w:t>p</w:t>
      </w:r>
      <w:r w:rsidR="00871F5F" w:rsidRPr="006E4D8B">
        <w:rPr>
          <w:rFonts w:ascii="Century Gothic" w:hAnsi="Century Gothic"/>
        </w:rPr>
        <w:t xml:space="preserve">récédent </w:t>
      </w:r>
      <w:r w:rsidR="00E3171D" w:rsidRPr="006E4D8B">
        <w:rPr>
          <w:rFonts w:ascii="Century Gothic" w:hAnsi="Century Gothic"/>
        </w:rPr>
        <w:t xml:space="preserve">ministre de </w:t>
      </w:r>
      <w:r w:rsidR="00FA7C28" w:rsidRPr="006E4D8B">
        <w:rPr>
          <w:rFonts w:ascii="Century Gothic" w:hAnsi="Century Gothic"/>
        </w:rPr>
        <w:t>l’Économie</w:t>
      </w:r>
      <w:r w:rsidR="00871F5F" w:rsidRPr="006E4D8B">
        <w:rPr>
          <w:rFonts w:ascii="Century Gothic" w:hAnsi="Century Gothic"/>
        </w:rPr>
        <w:t xml:space="preserve"> a chargé l’</w:t>
      </w:r>
      <w:r w:rsidR="00833134">
        <w:rPr>
          <w:rFonts w:ascii="Century Gothic" w:hAnsi="Century Gothic"/>
        </w:rPr>
        <w:t>A</w:t>
      </w:r>
      <w:r w:rsidR="00871F5F" w:rsidRPr="006E4D8B">
        <w:rPr>
          <w:rFonts w:ascii="Century Gothic" w:hAnsi="Century Gothic"/>
        </w:rPr>
        <w:t xml:space="preserve">dministration </w:t>
      </w:r>
      <w:r w:rsidR="00833134">
        <w:rPr>
          <w:rFonts w:ascii="Century Gothic" w:hAnsi="Century Gothic"/>
        </w:rPr>
        <w:t>w</w:t>
      </w:r>
      <w:r w:rsidR="00871F5F" w:rsidRPr="006E4D8B">
        <w:rPr>
          <w:rFonts w:ascii="Century Gothic" w:hAnsi="Century Gothic"/>
        </w:rPr>
        <w:t>allonne d’organiser un marché publi</w:t>
      </w:r>
      <w:r w:rsidR="00CB55A7">
        <w:rPr>
          <w:rFonts w:ascii="Century Gothic" w:hAnsi="Century Gothic"/>
        </w:rPr>
        <w:t>c</w:t>
      </w:r>
      <w:r w:rsidR="00552179" w:rsidRPr="006E4D8B">
        <w:rPr>
          <w:rFonts w:ascii="Century Gothic" w:hAnsi="Century Gothic"/>
        </w:rPr>
        <w:t xml:space="preserve"> </w:t>
      </w:r>
      <w:r w:rsidR="00E3171D" w:rsidRPr="006E4D8B">
        <w:rPr>
          <w:rFonts w:ascii="Century Gothic" w:hAnsi="Century Gothic"/>
        </w:rPr>
        <w:t>consistant</w:t>
      </w:r>
      <w:r w:rsidRPr="006E4D8B">
        <w:rPr>
          <w:rFonts w:ascii="Century Gothic" w:hAnsi="Century Gothic"/>
        </w:rPr>
        <w:t xml:space="preserve"> à </w:t>
      </w:r>
      <w:r w:rsidR="00730D2C" w:rsidRPr="006E4D8B">
        <w:rPr>
          <w:rFonts w:ascii="Century Gothic" w:hAnsi="Century Gothic"/>
        </w:rPr>
        <w:t>élaborer</w:t>
      </w:r>
      <w:r w:rsidRPr="006E4D8B">
        <w:rPr>
          <w:rFonts w:ascii="Century Gothic" w:hAnsi="Century Gothic"/>
        </w:rPr>
        <w:t xml:space="preserve"> </w:t>
      </w:r>
      <w:r w:rsidR="00E17EF0" w:rsidRPr="006E4D8B">
        <w:rPr>
          <w:rFonts w:ascii="Century Gothic" w:hAnsi="Century Gothic"/>
        </w:rPr>
        <w:t xml:space="preserve">un diagnostic multiscalaire </w:t>
      </w:r>
      <w:r w:rsidR="00915926" w:rsidRPr="006E4D8B">
        <w:rPr>
          <w:rFonts w:ascii="Century Gothic" w:hAnsi="Century Gothic"/>
        </w:rPr>
        <w:t>de l’appareil commercial wallon</w:t>
      </w:r>
      <w:r w:rsidR="00473DEF" w:rsidRPr="006E4D8B">
        <w:rPr>
          <w:rFonts w:ascii="Century Gothic" w:hAnsi="Century Gothic"/>
        </w:rPr>
        <w:t>.</w:t>
      </w:r>
      <w:r w:rsidR="00915926" w:rsidRPr="006E4D8B">
        <w:rPr>
          <w:rFonts w:ascii="Century Gothic" w:hAnsi="Century Gothic"/>
        </w:rPr>
        <w:t xml:space="preserve"> </w:t>
      </w:r>
      <w:r w:rsidR="00FA7C28" w:rsidRPr="006E4D8B">
        <w:rPr>
          <w:rFonts w:ascii="Century Gothic" w:hAnsi="Century Gothic"/>
        </w:rPr>
        <w:t xml:space="preserve">Ce diagnostic </w:t>
      </w:r>
      <w:r w:rsidR="002879C2" w:rsidRPr="006E4D8B">
        <w:rPr>
          <w:rFonts w:ascii="Century Gothic" w:hAnsi="Century Gothic"/>
        </w:rPr>
        <w:t xml:space="preserve">multiscalaire s’intéresse d’une part à l’état du commerce wallon d’un point de vue régional, et </w:t>
      </w:r>
      <w:r w:rsidR="00A9335E" w:rsidRPr="006E4D8B">
        <w:rPr>
          <w:rFonts w:ascii="Century Gothic" w:hAnsi="Century Gothic"/>
        </w:rPr>
        <w:t>fournit d’autre part un</w:t>
      </w:r>
      <w:r w:rsidR="00843000">
        <w:rPr>
          <w:rFonts w:ascii="Century Gothic" w:hAnsi="Century Gothic"/>
        </w:rPr>
        <w:t xml:space="preserve"> commerc</w:t>
      </w:r>
      <w:r w:rsidR="00A9335E" w:rsidRPr="006E4D8B">
        <w:rPr>
          <w:rFonts w:ascii="Century Gothic" w:hAnsi="Century Gothic"/>
        </w:rPr>
        <w:t>e analyse</w:t>
      </w:r>
      <w:r w:rsidR="00625A78" w:rsidRPr="00625A78">
        <w:rPr>
          <w:rFonts w:ascii="Century Gothic" w:hAnsi="Century Gothic"/>
        </w:rPr>
        <w:t xml:space="preserve"> </w:t>
      </w:r>
      <w:r w:rsidR="00625A78" w:rsidRPr="006E4D8B">
        <w:rPr>
          <w:rFonts w:ascii="Century Gothic" w:hAnsi="Century Gothic"/>
        </w:rPr>
        <w:t>à l’échelle de chaque commune du territoire wallon</w:t>
      </w:r>
      <w:r w:rsidR="00C86DA2" w:rsidRPr="006E4D8B">
        <w:rPr>
          <w:rFonts w:ascii="Century Gothic" w:hAnsi="Century Gothic"/>
        </w:rPr>
        <w:t xml:space="preserve"> sous la forme de fiches</w:t>
      </w:r>
      <w:r w:rsidR="003A4871" w:rsidRPr="006E4D8B">
        <w:rPr>
          <w:rFonts w:ascii="Century Gothic" w:hAnsi="Century Gothic"/>
        </w:rPr>
        <w:t xml:space="preserve"> disponibles sur le </w:t>
      </w:r>
      <w:proofErr w:type="spellStart"/>
      <w:r w:rsidR="003A4871" w:rsidRPr="006E4D8B">
        <w:rPr>
          <w:rFonts w:ascii="Century Gothic" w:hAnsi="Century Gothic"/>
        </w:rPr>
        <w:t>g</w:t>
      </w:r>
      <w:r w:rsidR="00833134">
        <w:rPr>
          <w:rFonts w:ascii="Century Gothic" w:hAnsi="Century Gothic"/>
        </w:rPr>
        <w:t>é</w:t>
      </w:r>
      <w:r w:rsidR="003A4871" w:rsidRPr="006E4D8B">
        <w:rPr>
          <w:rFonts w:ascii="Century Gothic" w:hAnsi="Century Gothic"/>
        </w:rPr>
        <w:t>oportail</w:t>
      </w:r>
      <w:proofErr w:type="spellEnd"/>
      <w:r w:rsidR="003A4871" w:rsidRPr="006E4D8B">
        <w:rPr>
          <w:rFonts w:ascii="Century Gothic" w:hAnsi="Century Gothic"/>
        </w:rPr>
        <w:t xml:space="preserve"> de Wall</w:t>
      </w:r>
      <w:r w:rsidR="007D67A7" w:rsidRPr="006E4D8B">
        <w:rPr>
          <w:rFonts w:ascii="Century Gothic" w:hAnsi="Century Gothic"/>
        </w:rPr>
        <w:t>onie</w:t>
      </w:r>
      <w:r w:rsidR="00833134">
        <w:rPr>
          <w:rFonts w:ascii="Century Gothic" w:hAnsi="Century Gothic"/>
        </w:rPr>
        <w:t xml:space="preserve"> (</w:t>
      </w:r>
      <w:proofErr w:type="spellStart"/>
      <w:r w:rsidR="00833134">
        <w:rPr>
          <w:rFonts w:ascii="Century Gothic" w:hAnsi="Century Gothic"/>
        </w:rPr>
        <w:t>WalOnMap</w:t>
      </w:r>
      <w:proofErr w:type="spellEnd"/>
      <w:r w:rsidR="00833134">
        <w:rPr>
          <w:rStyle w:val="Appelnotedebasdep"/>
          <w:rFonts w:ascii="Century Gothic" w:hAnsi="Century Gothic"/>
        </w:rPr>
        <w:footnoteReference w:id="1"/>
      </w:r>
      <w:r w:rsidR="00833134">
        <w:rPr>
          <w:rFonts w:ascii="Century Gothic" w:hAnsi="Century Gothic"/>
        </w:rPr>
        <w:t>)</w:t>
      </w:r>
      <w:r w:rsidR="00C86DA2" w:rsidRPr="006E4D8B">
        <w:rPr>
          <w:rFonts w:ascii="Century Gothic" w:hAnsi="Century Gothic"/>
        </w:rPr>
        <w:t>.</w:t>
      </w:r>
    </w:p>
    <w:p w14:paraId="508C1A65" w14:textId="682866EF" w:rsidR="10545354" w:rsidRPr="006E4D8B" w:rsidRDefault="10545354" w:rsidP="0A900B43">
      <w:pPr>
        <w:jc w:val="both"/>
        <w:rPr>
          <w:rFonts w:ascii="Century Gothic" w:hAnsi="Century Gothic"/>
        </w:rPr>
      </w:pPr>
      <w:r w:rsidRPr="006E4D8B">
        <w:rPr>
          <w:rFonts w:ascii="Century Gothic" w:hAnsi="Century Gothic"/>
        </w:rPr>
        <w:t xml:space="preserve">Le commerce est une fonction </w:t>
      </w:r>
      <w:r w:rsidR="163ADC5D" w:rsidRPr="006E4D8B">
        <w:rPr>
          <w:rFonts w:ascii="Century Gothic" w:hAnsi="Century Gothic"/>
        </w:rPr>
        <w:t>socio-</w:t>
      </w:r>
      <w:r w:rsidRPr="006E4D8B">
        <w:rPr>
          <w:rFonts w:ascii="Century Gothic" w:hAnsi="Century Gothic"/>
        </w:rPr>
        <w:t xml:space="preserve">économique importante de notre </w:t>
      </w:r>
      <w:r w:rsidR="00625A78">
        <w:rPr>
          <w:rFonts w:ascii="Century Gothic" w:hAnsi="Century Gothic"/>
        </w:rPr>
        <w:t>r</w:t>
      </w:r>
      <w:r w:rsidRPr="006E4D8B">
        <w:rPr>
          <w:rFonts w:ascii="Century Gothic" w:hAnsi="Century Gothic"/>
        </w:rPr>
        <w:t>égion. Il s’agit d’un important pourvoyeur d’emplois</w:t>
      </w:r>
      <w:r w:rsidR="223DB971" w:rsidRPr="006E4D8B">
        <w:rPr>
          <w:rFonts w:ascii="Century Gothic" w:hAnsi="Century Gothic"/>
        </w:rPr>
        <w:t xml:space="preserve"> (en 2023, selon l’ONSS, 12,1% des travailleurs employés en Belgique travaill</w:t>
      </w:r>
      <w:r w:rsidR="00833134">
        <w:rPr>
          <w:rFonts w:ascii="Century Gothic" w:hAnsi="Century Gothic"/>
        </w:rPr>
        <w:t>aie</w:t>
      </w:r>
      <w:r w:rsidR="223DB971" w:rsidRPr="006E4D8B">
        <w:rPr>
          <w:rFonts w:ascii="Century Gothic" w:hAnsi="Century Gothic"/>
        </w:rPr>
        <w:t xml:space="preserve">nt dans ce secteur). Il permet à de nombreuses personnes d’expérimenter un premier emploi et offre </w:t>
      </w:r>
      <w:r w:rsidR="3115973F" w:rsidRPr="006E4D8B">
        <w:rPr>
          <w:rFonts w:ascii="Century Gothic" w:hAnsi="Century Gothic"/>
        </w:rPr>
        <w:t>davantage de possibilités que d’autres secteurs.</w:t>
      </w:r>
      <w:r w:rsidR="00833134">
        <w:rPr>
          <w:rFonts w:ascii="Century Gothic" w:hAnsi="Century Gothic"/>
        </w:rPr>
        <w:t xml:space="preserve"> </w:t>
      </w:r>
      <w:r w:rsidR="29049B5B" w:rsidRPr="006E4D8B">
        <w:rPr>
          <w:rFonts w:ascii="Century Gothic" w:hAnsi="Century Gothic"/>
        </w:rPr>
        <w:t>Il permet à la population de se fournir en une gamme étendue de produits de consommation accessibles et abordables. Fonction induite, il est un marqueur de la dynamique de nos territoires</w:t>
      </w:r>
      <w:r w:rsidR="4D914F69" w:rsidRPr="006E4D8B">
        <w:rPr>
          <w:rFonts w:ascii="Century Gothic" w:hAnsi="Century Gothic"/>
        </w:rPr>
        <w:t>. Fonction vivante, il est sensible</w:t>
      </w:r>
      <w:r w:rsidR="4CDD871C" w:rsidRPr="006E4D8B">
        <w:rPr>
          <w:rFonts w:ascii="Century Gothic" w:hAnsi="Century Gothic"/>
        </w:rPr>
        <w:t xml:space="preserve"> </w:t>
      </w:r>
      <w:r w:rsidR="4D914F69" w:rsidRPr="006E4D8B">
        <w:rPr>
          <w:rFonts w:ascii="Century Gothic" w:hAnsi="Century Gothic"/>
        </w:rPr>
        <w:t>aux mutations de nos sociétés</w:t>
      </w:r>
      <w:r w:rsidR="64E22C2C" w:rsidRPr="006E4D8B">
        <w:rPr>
          <w:rFonts w:ascii="Century Gothic" w:hAnsi="Century Gothic"/>
        </w:rPr>
        <w:t>.</w:t>
      </w:r>
      <w:r w:rsidR="4D914F69" w:rsidRPr="006E4D8B">
        <w:rPr>
          <w:rFonts w:ascii="Century Gothic" w:hAnsi="Century Gothic"/>
        </w:rPr>
        <w:t xml:space="preserve"> Sa présence dynamise d’autres secteurs</w:t>
      </w:r>
      <w:r w:rsidR="0001655F">
        <w:rPr>
          <w:rFonts w:ascii="Century Gothic" w:hAnsi="Century Gothic"/>
        </w:rPr>
        <w:t>, comme l’</w:t>
      </w:r>
      <w:r w:rsidR="4D914F69" w:rsidRPr="006E4D8B">
        <w:rPr>
          <w:rFonts w:ascii="Century Gothic" w:hAnsi="Century Gothic"/>
        </w:rPr>
        <w:t xml:space="preserve">HoReCa et </w:t>
      </w:r>
      <w:r w:rsidR="0001655F">
        <w:rPr>
          <w:rFonts w:ascii="Century Gothic" w:hAnsi="Century Gothic"/>
        </w:rPr>
        <w:t xml:space="preserve">les </w:t>
      </w:r>
      <w:r w:rsidR="4D914F69" w:rsidRPr="006E4D8B">
        <w:rPr>
          <w:rFonts w:ascii="Century Gothic" w:hAnsi="Century Gothic"/>
        </w:rPr>
        <w:t>loisirs</w:t>
      </w:r>
      <w:r w:rsidR="0001655F">
        <w:rPr>
          <w:rFonts w:ascii="Century Gothic" w:hAnsi="Century Gothic"/>
        </w:rPr>
        <w:t>,</w:t>
      </w:r>
      <w:r w:rsidR="47FD09D2" w:rsidRPr="006E4D8B">
        <w:rPr>
          <w:rFonts w:ascii="Century Gothic" w:hAnsi="Century Gothic"/>
        </w:rPr>
        <w:t xml:space="preserve"> et assure l’animation des centralités en améliorant la qualité de vie dans les quartiers et le sentiment de sécurité. </w:t>
      </w:r>
    </w:p>
    <w:p w14:paraId="7096DFF8" w14:textId="7CE6280F" w:rsidR="3E020BC4" w:rsidRPr="006E4D8B" w:rsidRDefault="3E020BC4" w:rsidP="0A900B43">
      <w:pPr>
        <w:jc w:val="both"/>
        <w:rPr>
          <w:rFonts w:ascii="Century Gothic" w:hAnsi="Century Gothic"/>
          <w:highlight w:val="yellow"/>
        </w:rPr>
      </w:pPr>
      <w:r w:rsidRPr="006E4D8B">
        <w:rPr>
          <w:rFonts w:ascii="Century Gothic" w:hAnsi="Century Gothic"/>
        </w:rPr>
        <w:t>Le commerce a de tou</w:t>
      </w:r>
      <w:r w:rsidR="0001655F">
        <w:rPr>
          <w:rFonts w:ascii="Century Gothic" w:hAnsi="Century Gothic"/>
        </w:rPr>
        <w:t>t</w:t>
      </w:r>
      <w:r w:rsidRPr="006E4D8B">
        <w:rPr>
          <w:rFonts w:ascii="Century Gothic" w:hAnsi="Century Gothic"/>
        </w:rPr>
        <w:t xml:space="preserve"> temps existé dans nos société</w:t>
      </w:r>
      <w:r w:rsidR="7A83BA95" w:rsidRPr="006E4D8B">
        <w:rPr>
          <w:rFonts w:ascii="Century Gothic" w:hAnsi="Century Gothic"/>
        </w:rPr>
        <w:t>s</w:t>
      </w:r>
      <w:r w:rsidR="00833134">
        <w:rPr>
          <w:rFonts w:ascii="Century Gothic" w:hAnsi="Century Gothic"/>
        </w:rPr>
        <w:t>, s</w:t>
      </w:r>
      <w:r w:rsidR="1CEC1194" w:rsidRPr="006E4D8B">
        <w:rPr>
          <w:rFonts w:ascii="Century Gothic" w:hAnsi="Century Gothic"/>
        </w:rPr>
        <w:t>a présence a structuré nos espaces urbains et ruraux</w:t>
      </w:r>
      <w:r w:rsidR="206C2D49" w:rsidRPr="006E4D8B">
        <w:rPr>
          <w:rFonts w:ascii="Century Gothic" w:hAnsi="Century Gothic"/>
        </w:rPr>
        <w:t xml:space="preserve">. Le secteur </w:t>
      </w:r>
      <w:r w:rsidRPr="006E4D8B">
        <w:rPr>
          <w:rFonts w:ascii="Century Gothic" w:hAnsi="Century Gothic"/>
        </w:rPr>
        <w:t>a néan</w:t>
      </w:r>
      <w:r w:rsidR="73CAA3E7" w:rsidRPr="006E4D8B">
        <w:rPr>
          <w:rFonts w:ascii="Century Gothic" w:hAnsi="Century Gothic"/>
        </w:rPr>
        <w:t xml:space="preserve">moins </w:t>
      </w:r>
      <w:r w:rsidRPr="006E4D8B">
        <w:rPr>
          <w:rFonts w:ascii="Century Gothic" w:hAnsi="Century Gothic"/>
        </w:rPr>
        <w:t xml:space="preserve">connu d’importants bouleversements depuis les années 1960. </w:t>
      </w:r>
      <w:r w:rsidR="6F35CFBC" w:rsidRPr="006E4D8B">
        <w:rPr>
          <w:rFonts w:ascii="Century Gothic" w:hAnsi="Century Gothic"/>
        </w:rPr>
        <w:t>Le développement des banlieues a transformé les structures urbaines et commerciales, répondant</w:t>
      </w:r>
      <w:r w:rsidR="5C9535FE" w:rsidRPr="006E4D8B">
        <w:rPr>
          <w:rFonts w:ascii="Century Gothic" w:hAnsi="Century Gothic"/>
        </w:rPr>
        <w:t xml:space="preserve"> ainsi </w:t>
      </w:r>
      <w:r w:rsidR="6F35CFBC" w:rsidRPr="006E4D8B">
        <w:rPr>
          <w:rFonts w:ascii="Century Gothic" w:hAnsi="Century Gothic"/>
        </w:rPr>
        <w:t xml:space="preserve">aux besoins d'une population motorisée et marquant un changement dans les modes de vie. La fonction commerciale a quitté les centralités urbaines et villageoises et s’est </w:t>
      </w:r>
      <w:r w:rsidR="768D9843" w:rsidRPr="006E4D8B">
        <w:rPr>
          <w:rFonts w:ascii="Century Gothic" w:hAnsi="Century Gothic"/>
        </w:rPr>
        <w:t>établie</w:t>
      </w:r>
      <w:r w:rsidR="6F35CFBC" w:rsidRPr="006E4D8B">
        <w:rPr>
          <w:rFonts w:ascii="Century Gothic" w:hAnsi="Century Gothic"/>
        </w:rPr>
        <w:t xml:space="preserve"> en périphérie. </w:t>
      </w:r>
      <w:r w:rsidR="00CB03D3">
        <w:rPr>
          <w:rFonts w:ascii="Century Gothic" w:hAnsi="Century Gothic"/>
        </w:rPr>
        <w:t>Ainsi, d</w:t>
      </w:r>
      <w:r w:rsidR="6F35CFBC" w:rsidRPr="006E4D8B">
        <w:rPr>
          <w:rFonts w:ascii="Century Gothic" w:hAnsi="Century Gothic"/>
        </w:rPr>
        <w:t>e nouvelles formes d’implantations commerciales (par</w:t>
      </w:r>
      <w:r w:rsidR="2C0088D9" w:rsidRPr="006E4D8B">
        <w:rPr>
          <w:rFonts w:ascii="Century Gothic" w:hAnsi="Century Gothic"/>
        </w:rPr>
        <w:t xml:space="preserve">cs commerciaux, centres commerciaux, “boîtes à chaussures”) sont apparues sur le </w:t>
      </w:r>
      <w:proofErr w:type="gramStart"/>
      <w:r w:rsidR="2C0088D9" w:rsidRPr="006E4D8B">
        <w:rPr>
          <w:rFonts w:ascii="Century Gothic" w:hAnsi="Century Gothic"/>
        </w:rPr>
        <w:t>territoire</w:t>
      </w:r>
      <w:proofErr w:type="gramEnd"/>
      <w:r w:rsidR="2C0088D9" w:rsidRPr="006E4D8B">
        <w:rPr>
          <w:rFonts w:ascii="Century Gothic" w:hAnsi="Century Gothic"/>
        </w:rPr>
        <w:t xml:space="preserve"> wallon. </w:t>
      </w:r>
      <w:r w:rsidR="2A989B93" w:rsidRPr="006E4D8B">
        <w:rPr>
          <w:rFonts w:ascii="Century Gothic" w:hAnsi="Century Gothic"/>
        </w:rPr>
        <w:t>Cette croissance très importante du commerce</w:t>
      </w:r>
      <w:r w:rsidR="00CB03D3">
        <w:rPr>
          <w:rFonts w:ascii="Century Gothic" w:hAnsi="Century Gothic"/>
        </w:rPr>
        <w:t xml:space="preserve"> </w:t>
      </w:r>
      <w:r w:rsidR="2A989B93" w:rsidRPr="006E4D8B">
        <w:rPr>
          <w:rFonts w:ascii="Century Gothic" w:hAnsi="Century Gothic"/>
        </w:rPr>
        <w:t>périphéri</w:t>
      </w:r>
      <w:r w:rsidR="00CB03D3">
        <w:rPr>
          <w:rFonts w:ascii="Century Gothic" w:hAnsi="Century Gothic"/>
        </w:rPr>
        <w:t>que</w:t>
      </w:r>
      <w:r w:rsidR="4094FD03" w:rsidRPr="006E4D8B">
        <w:rPr>
          <w:rFonts w:ascii="Century Gothic" w:hAnsi="Century Gothic"/>
        </w:rPr>
        <w:t xml:space="preserve"> a eu un effet considérable sur les centralités. Aujourd’hui, la majorité de ces derni</w:t>
      </w:r>
      <w:r w:rsidR="7A7AD41A" w:rsidRPr="006E4D8B">
        <w:rPr>
          <w:rFonts w:ascii="Century Gothic" w:hAnsi="Century Gothic"/>
        </w:rPr>
        <w:t>ères</w:t>
      </w:r>
      <w:r w:rsidR="4094FD03" w:rsidRPr="006E4D8B">
        <w:rPr>
          <w:rFonts w:ascii="Century Gothic" w:hAnsi="Century Gothic"/>
        </w:rPr>
        <w:t xml:space="preserve"> est désormais en déclin avancé, caractérisés par un taux élevé de </w:t>
      </w:r>
      <w:proofErr w:type="gramStart"/>
      <w:r w:rsidR="4094FD03" w:rsidRPr="006E4D8B">
        <w:rPr>
          <w:rFonts w:ascii="Century Gothic" w:hAnsi="Century Gothic"/>
        </w:rPr>
        <w:t>vacance</w:t>
      </w:r>
      <w:proofErr w:type="gramEnd"/>
      <w:r w:rsidR="4094FD03" w:rsidRPr="006E4D8B">
        <w:rPr>
          <w:rFonts w:ascii="Century Gothic" w:hAnsi="Century Gothic"/>
        </w:rPr>
        <w:t xml:space="preserve"> commerciale et une transformation active des cellules vides vers des usages non commerciaux </w:t>
      </w:r>
      <w:r w:rsidR="00CB03D3">
        <w:rPr>
          <w:rFonts w:ascii="Century Gothic" w:hAnsi="Century Gothic"/>
        </w:rPr>
        <w:t xml:space="preserve">comme les </w:t>
      </w:r>
      <w:r w:rsidR="4094FD03" w:rsidRPr="006E4D8B">
        <w:rPr>
          <w:rFonts w:ascii="Century Gothic" w:hAnsi="Century Gothic"/>
        </w:rPr>
        <w:t xml:space="preserve">logements, </w:t>
      </w:r>
      <w:r w:rsidR="00CB03D3">
        <w:rPr>
          <w:rFonts w:ascii="Century Gothic" w:hAnsi="Century Gothic"/>
        </w:rPr>
        <w:t xml:space="preserve">les </w:t>
      </w:r>
      <w:r w:rsidR="4094FD03" w:rsidRPr="006E4D8B">
        <w:rPr>
          <w:rFonts w:ascii="Century Gothic" w:hAnsi="Century Gothic"/>
        </w:rPr>
        <w:t xml:space="preserve">bureaux, </w:t>
      </w:r>
      <w:r w:rsidR="00CB03D3">
        <w:rPr>
          <w:rFonts w:ascii="Century Gothic" w:hAnsi="Century Gothic"/>
        </w:rPr>
        <w:t xml:space="preserve">les </w:t>
      </w:r>
      <w:r w:rsidR="4094FD03" w:rsidRPr="006E4D8B">
        <w:rPr>
          <w:rFonts w:ascii="Century Gothic" w:hAnsi="Century Gothic"/>
        </w:rPr>
        <w:t xml:space="preserve">cabinets, professions libérales, services, etc. </w:t>
      </w:r>
    </w:p>
    <w:p w14:paraId="38D8976A" w14:textId="4EE3B50D" w:rsidR="7E6D8D13" w:rsidRPr="006E4D8B" w:rsidRDefault="7E6D8D13" w:rsidP="0A900B43">
      <w:pPr>
        <w:jc w:val="both"/>
        <w:rPr>
          <w:rFonts w:ascii="Century Gothic" w:hAnsi="Century Gothic"/>
        </w:rPr>
      </w:pPr>
      <w:r w:rsidRPr="006E4D8B">
        <w:rPr>
          <w:rFonts w:ascii="Century Gothic" w:hAnsi="Century Gothic"/>
        </w:rPr>
        <w:t xml:space="preserve">Cette situation a poussé les autorités publiques à cadrer le développement du commerce à travers plusieurs législations. </w:t>
      </w:r>
      <w:r w:rsidR="2C0088D9" w:rsidRPr="006E4D8B">
        <w:rPr>
          <w:rFonts w:ascii="Century Gothic" w:hAnsi="Century Gothic"/>
        </w:rPr>
        <w:t xml:space="preserve">Historiquement, la gestion des implantations commerciales </w:t>
      </w:r>
      <w:r w:rsidR="00705AC5" w:rsidRPr="006E4D8B">
        <w:rPr>
          <w:rFonts w:ascii="Century Gothic" w:hAnsi="Century Gothic"/>
        </w:rPr>
        <w:t xml:space="preserve">d’un pays ou d’une région </w:t>
      </w:r>
      <w:r w:rsidR="2C0088D9" w:rsidRPr="006E4D8B">
        <w:rPr>
          <w:rFonts w:ascii="Century Gothic" w:hAnsi="Century Gothic"/>
        </w:rPr>
        <w:t>s’</w:t>
      </w:r>
      <w:r w:rsidR="2754C39D" w:rsidRPr="006E4D8B">
        <w:rPr>
          <w:rFonts w:ascii="Century Gothic" w:hAnsi="Century Gothic"/>
        </w:rPr>
        <w:t xml:space="preserve">est </w:t>
      </w:r>
      <w:r w:rsidR="2C0088D9" w:rsidRPr="006E4D8B">
        <w:rPr>
          <w:rFonts w:ascii="Century Gothic" w:hAnsi="Century Gothic"/>
        </w:rPr>
        <w:t>organis</w:t>
      </w:r>
      <w:r w:rsidR="119CA9AF" w:rsidRPr="006E4D8B">
        <w:rPr>
          <w:rFonts w:ascii="Century Gothic" w:hAnsi="Century Gothic"/>
        </w:rPr>
        <w:t>ée</w:t>
      </w:r>
      <w:r w:rsidR="2C0088D9" w:rsidRPr="006E4D8B">
        <w:rPr>
          <w:rFonts w:ascii="Century Gothic" w:hAnsi="Century Gothic"/>
        </w:rPr>
        <w:t xml:space="preserve"> selon deux paradigmes : logique aménagiste </w:t>
      </w:r>
      <w:r w:rsidR="2C0088D9" w:rsidRPr="00705AC5">
        <w:rPr>
          <w:rFonts w:ascii="Century Gothic" w:hAnsi="Century Gothic"/>
          <w:i/>
          <w:iCs/>
        </w:rPr>
        <w:t>v</w:t>
      </w:r>
      <w:r w:rsidR="00833134" w:rsidRPr="00705AC5">
        <w:rPr>
          <w:rFonts w:ascii="Century Gothic" w:hAnsi="Century Gothic"/>
          <w:i/>
          <w:iCs/>
        </w:rPr>
        <w:t>ersus</w:t>
      </w:r>
      <w:r w:rsidR="2C0088D9" w:rsidRPr="006E4D8B">
        <w:rPr>
          <w:rFonts w:ascii="Century Gothic" w:hAnsi="Century Gothic"/>
        </w:rPr>
        <w:t xml:space="preserve"> liberté d’installation. </w:t>
      </w:r>
      <w:r w:rsidR="63166223" w:rsidRPr="006E4D8B">
        <w:rPr>
          <w:rFonts w:ascii="Century Gothic" w:hAnsi="Century Gothic"/>
        </w:rPr>
        <w:t>Les lois</w:t>
      </w:r>
      <w:r w:rsidR="63B6D07A" w:rsidRPr="006E4D8B">
        <w:rPr>
          <w:rFonts w:ascii="Century Gothic" w:hAnsi="Century Gothic"/>
        </w:rPr>
        <w:t xml:space="preserve"> fédérales</w:t>
      </w:r>
      <w:r w:rsidR="63166223" w:rsidRPr="006E4D8B">
        <w:rPr>
          <w:rFonts w:ascii="Century Gothic" w:hAnsi="Century Gothic"/>
        </w:rPr>
        <w:t xml:space="preserve"> de 1975 (“loi cadenas”) et de 2004 (“loi Ikea”) ont régi le développement commercial en Wallonie pendant des décennies. </w:t>
      </w:r>
      <w:r w:rsidR="2C0088D9" w:rsidRPr="006E4D8B">
        <w:rPr>
          <w:rFonts w:ascii="Century Gothic" w:hAnsi="Century Gothic"/>
        </w:rPr>
        <w:t>Pendant les années 2000</w:t>
      </w:r>
      <w:r w:rsidR="4F35DA4B" w:rsidRPr="006E4D8B">
        <w:rPr>
          <w:rFonts w:ascii="Century Gothic" w:hAnsi="Century Gothic"/>
        </w:rPr>
        <w:t xml:space="preserve"> et </w:t>
      </w:r>
      <w:r w:rsidR="2C0088D9" w:rsidRPr="006E4D8B">
        <w:rPr>
          <w:rFonts w:ascii="Century Gothic" w:hAnsi="Century Gothic"/>
        </w:rPr>
        <w:t>2010, la Wallonie a plutôt privilégié la liberté d’i</w:t>
      </w:r>
      <w:r w:rsidR="00705AC5">
        <w:rPr>
          <w:rFonts w:ascii="Century Gothic" w:hAnsi="Century Gothic"/>
        </w:rPr>
        <w:t xml:space="preserve">mplantation </w:t>
      </w:r>
      <w:r w:rsidR="2C0088D9" w:rsidRPr="006E4D8B">
        <w:rPr>
          <w:rFonts w:ascii="Century Gothic" w:hAnsi="Century Gothic"/>
        </w:rPr>
        <w:t xml:space="preserve">et le développement économique, en </w:t>
      </w:r>
      <w:r w:rsidR="2C0088D9" w:rsidRPr="006E4D8B">
        <w:rPr>
          <w:rFonts w:ascii="Century Gothic" w:hAnsi="Century Gothic"/>
        </w:rPr>
        <w:lastRenderedPageBreak/>
        <w:t>s’alignant sur la Directive Services de 2006</w:t>
      </w:r>
      <w:r w:rsidR="006A41FC">
        <w:rPr>
          <w:rStyle w:val="Appelnotedebasdep"/>
          <w:rFonts w:ascii="Century Gothic" w:hAnsi="Century Gothic"/>
        </w:rPr>
        <w:footnoteReference w:id="2"/>
      </w:r>
      <w:r w:rsidR="2C0088D9" w:rsidRPr="006E4D8B">
        <w:rPr>
          <w:rFonts w:ascii="Century Gothic" w:hAnsi="Century Gothic"/>
        </w:rPr>
        <w:t>. Ceci a donné lieu à davantage de développements de grandes surfaces commerciales en périphérie, avec un impact non</w:t>
      </w:r>
      <w:r w:rsidR="006A0E08">
        <w:rPr>
          <w:rFonts w:ascii="Century Gothic" w:hAnsi="Century Gothic"/>
        </w:rPr>
        <w:t xml:space="preserve"> </w:t>
      </w:r>
      <w:r w:rsidR="2C0088D9" w:rsidRPr="006E4D8B">
        <w:rPr>
          <w:rFonts w:ascii="Century Gothic" w:hAnsi="Century Gothic"/>
        </w:rPr>
        <w:t>négligeable sur les centres-villes.</w:t>
      </w:r>
    </w:p>
    <w:p w14:paraId="3B5F28EA" w14:textId="65E17BE2" w:rsidR="509CF1EA" w:rsidRPr="006E4D8B" w:rsidRDefault="509CF1EA" w:rsidP="0A900B43">
      <w:pPr>
        <w:jc w:val="both"/>
        <w:rPr>
          <w:rFonts w:ascii="Century Gothic" w:hAnsi="Century Gothic"/>
        </w:rPr>
      </w:pPr>
      <w:r w:rsidRPr="006E4D8B">
        <w:rPr>
          <w:rFonts w:ascii="Century Gothic" w:hAnsi="Century Gothic"/>
        </w:rPr>
        <w:t>A partir de 2015, à la suite de la réforme de l’</w:t>
      </w:r>
      <w:r w:rsidR="00833134" w:rsidRPr="00833134">
        <w:rPr>
          <w:rFonts w:ascii="Century Gothic" w:hAnsi="Century Gothic"/>
        </w:rPr>
        <w:t>É</w:t>
      </w:r>
      <w:r w:rsidRPr="006E4D8B">
        <w:rPr>
          <w:rFonts w:ascii="Century Gothic" w:hAnsi="Century Gothic"/>
        </w:rPr>
        <w:t xml:space="preserve">tat de 2014 transférant la compétence de </w:t>
      </w:r>
      <w:r w:rsidR="006A0E08">
        <w:rPr>
          <w:rFonts w:ascii="Century Gothic" w:hAnsi="Century Gothic"/>
        </w:rPr>
        <w:t xml:space="preserve">la </w:t>
      </w:r>
      <w:r w:rsidRPr="006E4D8B">
        <w:rPr>
          <w:rFonts w:ascii="Century Gothic" w:hAnsi="Century Gothic"/>
        </w:rPr>
        <w:t>régulation du commerce aux Régions, la Wallonie a choisi d’adopter une réglementation spécifique pour les implantations commerciales en instaurant un régime de planification et d’autorisation. Bien que cette législation fût plus stricte que les précédentes, le secteur a fini par s’adapter. Les instances locales n’ont pas toujours été en mesure de suivre les principes du décret et les avis des instances régionales</w:t>
      </w:r>
      <w:r w:rsidRPr="006A0E08">
        <w:rPr>
          <w:rFonts w:ascii="Century Gothic" w:hAnsi="Century Gothic"/>
        </w:rPr>
        <w:t>. Après une période d’appropriation de cette nouvelle réglementation, le nombre de demandes de permis a progressivement augmenté chaque année</w:t>
      </w:r>
      <w:r w:rsidRPr="006E4D8B">
        <w:rPr>
          <w:rFonts w:ascii="Century Gothic" w:hAnsi="Century Gothic"/>
        </w:rPr>
        <w:t xml:space="preserve">. Une nouvelle étape est aujourd’hui inscrite dans la législation régionale avec l’adoption de la révision du Schéma de Développement du Territoire (SDT) et la réforme du Code du Développement </w:t>
      </w:r>
      <w:r w:rsidR="00126E55">
        <w:rPr>
          <w:rFonts w:ascii="Century Gothic" w:hAnsi="Century Gothic"/>
        </w:rPr>
        <w:t>T</w:t>
      </w:r>
      <w:r w:rsidRPr="006E4D8B">
        <w:rPr>
          <w:rFonts w:ascii="Century Gothic" w:hAnsi="Century Gothic"/>
        </w:rPr>
        <w:t>erritorial (</w:t>
      </w:r>
      <w:proofErr w:type="spellStart"/>
      <w:r w:rsidRPr="006E4D8B">
        <w:rPr>
          <w:rFonts w:ascii="Century Gothic" w:hAnsi="Century Gothic"/>
        </w:rPr>
        <w:t>CoDT</w:t>
      </w:r>
      <w:proofErr w:type="spellEnd"/>
      <w:r w:rsidRPr="006E4D8B">
        <w:rPr>
          <w:rFonts w:ascii="Century Gothic" w:hAnsi="Century Gothic"/>
        </w:rPr>
        <w:t>) : l’intégration de la fonction commerciale dans l’aménagement du territoire.</w:t>
      </w:r>
    </w:p>
    <w:p w14:paraId="2C4946FC" w14:textId="41B25D63" w:rsidR="00BC502E" w:rsidRPr="006E4D8B" w:rsidRDefault="00927803" w:rsidP="008B6EDA">
      <w:pPr>
        <w:jc w:val="both"/>
        <w:rPr>
          <w:rFonts w:ascii="Century Gothic" w:hAnsi="Century Gothic"/>
        </w:rPr>
      </w:pPr>
      <w:r w:rsidRPr="006E4D8B">
        <w:rPr>
          <w:rFonts w:ascii="Century Gothic" w:hAnsi="Century Gothic"/>
        </w:rPr>
        <w:t>L</w:t>
      </w:r>
      <w:r w:rsidR="00D20745" w:rsidRPr="006E4D8B">
        <w:rPr>
          <w:rFonts w:ascii="Century Gothic" w:hAnsi="Century Gothic"/>
        </w:rPr>
        <w:t xml:space="preserve">’étude constate </w:t>
      </w:r>
      <w:r w:rsidR="00913B7D" w:rsidRPr="006E4D8B">
        <w:rPr>
          <w:rFonts w:ascii="Century Gothic" w:hAnsi="Century Gothic"/>
        </w:rPr>
        <w:t>que la Belgique est l'un des pays d’Europe avec la plus grande surface de vente nette par habitant (1,66 m²/habitant en 2019). Les analyses macro-économiques révèlent une suroffre commerciale par rapport à ses voisins, notamment en Wallonie. En effet, l’analyse du taux d’équipement commercial par habitant démontre une certaine saturation de l’espace commercial en Belgique.</w:t>
      </w:r>
    </w:p>
    <w:p w14:paraId="066C9171" w14:textId="123CC588" w:rsidR="53D53E07" w:rsidRPr="006E4D8B" w:rsidRDefault="53D53E07" w:rsidP="278AE5B2">
      <w:pPr>
        <w:jc w:val="both"/>
        <w:rPr>
          <w:rFonts w:ascii="Century Gothic" w:hAnsi="Century Gothic"/>
        </w:rPr>
      </w:pPr>
      <w:r w:rsidRPr="006E4D8B">
        <w:rPr>
          <w:rFonts w:ascii="Century Gothic" w:hAnsi="Century Gothic"/>
        </w:rPr>
        <w:t>En 2024, la Wallonie compt</w:t>
      </w:r>
      <w:r w:rsidR="00126E55">
        <w:rPr>
          <w:rFonts w:ascii="Century Gothic" w:hAnsi="Century Gothic"/>
        </w:rPr>
        <w:t>ait</w:t>
      </w:r>
      <w:r w:rsidRPr="006E4D8B">
        <w:rPr>
          <w:rFonts w:ascii="Century Gothic" w:hAnsi="Century Gothic"/>
        </w:rPr>
        <w:t xml:space="preserve"> </w:t>
      </w:r>
      <w:r w:rsidR="27D46722" w:rsidRPr="006E4D8B">
        <w:rPr>
          <w:rFonts w:ascii="Century Gothic" w:hAnsi="Century Gothic"/>
        </w:rPr>
        <w:t>37</w:t>
      </w:r>
      <w:r w:rsidR="00126E55">
        <w:rPr>
          <w:rFonts w:ascii="Century Gothic" w:hAnsi="Century Gothic"/>
        </w:rPr>
        <w:t>.</w:t>
      </w:r>
      <w:r w:rsidR="27D46722" w:rsidRPr="006E4D8B">
        <w:rPr>
          <w:rFonts w:ascii="Century Gothic" w:hAnsi="Century Gothic"/>
        </w:rPr>
        <w:t>701</w:t>
      </w:r>
      <w:r w:rsidRPr="006E4D8B">
        <w:rPr>
          <w:rFonts w:ascii="Century Gothic" w:hAnsi="Century Gothic"/>
        </w:rPr>
        <w:t xml:space="preserve"> cellules commerciales pour une surface commerciale nette totale de près de 7</w:t>
      </w:r>
      <w:r w:rsidR="634EBBA0" w:rsidRPr="006E4D8B">
        <w:rPr>
          <w:rFonts w:ascii="Century Gothic" w:hAnsi="Century Gothic"/>
        </w:rPr>
        <w:t>,5</w:t>
      </w:r>
      <w:r w:rsidRPr="006E4D8B">
        <w:rPr>
          <w:rFonts w:ascii="Century Gothic" w:hAnsi="Century Gothic"/>
        </w:rPr>
        <w:t xml:space="preserve"> millions de mètres carrés.</w:t>
      </w:r>
      <w:r w:rsidR="50E914D0" w:rsidRPr="006E4D8B">
        <w:rPr>
          <w:rFonts w:ascii="Century Gothic" w:hAnsi="Century Gothic"/>
        </w:rPr>
        <w:t xml:space="preserve"> </w:t>
      </w:r>
      <w:r w:rsidR="00126E55">
        <w:rPr>
          <w:rFonts w:ascii="Century Gothic" w:hAnsi="Century Gothic"/>
        </w:rPr>
        <w:t>Onze pourcents</w:t>
      </w:r>
      <w:r w:rsidR="50E914D0" w:rsidRPr="006E4D8B">
        <w:rPr>
          <w:rFonts w:ascii="Century Gothic" w:hAnsi="Century Gothic"/>
        </w:rPr>
        <w:t xml:space="preserve"> de cette surface est inoccupée (cellules vides). </w:t>
      </w:r>
      <w:r w:rsidR="00DB4854">
        <w:rPr>
          <w:rFonts w:ascii="Century Gothic" w:hAnsi="Century Gothic"/>
        </w:rPr>
        <w:t>Vingt pourcents</w:t>
      </w:r>
      <w:r w:rsidR="50E914D0" w:rsidRPr="006E4D8B">
        <w:rPr>
          <w:rFonts w:ascii="Century Gothic" w:hAnsi="Century Gothic"/>
        </w:rPr>
        <w:t xml:space="preserve"> sont de l’alimentaire, 24% du léger et 32% du lourd. </w:t>
      </w:r>
      <w:r w:rsidR="00DB4854" w:rsidRPr="006E4D8B">
        <w:rPr>
          <w:rFonts w:ascii="Century Gothic" w:hAnsi="Century Gothic"/>
        </w:rPr>
        <w:t>L’HoReCa</w:t>
      </w:r>
      <w:r w:rsidR="50E914D0" w:rsidRPr="006E4D8B">
        <w:rPr>
          <w:rFonts w:ascii="Century Gothic" w:hAnsi="Century Gothic"/>
        </w:rPr>
        <w:t xml:space="preserve"> et les services commerciaux </w:t>
      </w:r>
      <w:r w:rsidR="66B448B4" w:rsidRPr="006E4D8B">
        <w:rPr>
          <w:rFonts w:ascii="Century Gothic" w:hAnsi="Century Gothic"/>
        </w:rPr>
        <w:t>représentent</w:t>
      </w:r>
      <w:r w:rsidR="1EA30C17" w:rsidRPr="006E4D8B">
        <w:rPr>
          <w:rFonts w:ascii="Century Gothic" w:hAnsi="Century Gothic"/>
        </w:rPr>
        <w:t xml:space="preserve"> respectivement 5% et 8% du total relevé. </w:t>
      </w:r>
    </w:p>
    <w:p w14:paraId="3AA57F8E" w14:textId="23FD989C" w:rsidR="1EA30C17" w:rsidRPr="006E4D8B" w:rsidRDefault="1EA30C17" w:rsidP="278AE5B2">
      <w:pPr>
        <w:jc w:val="both"/>
        <w:rPr>
          <w:rFonts w:ascii="Century Gothic" w:hAnsi="Century Gothic"/>
        </w:rPr>
      </w:pPr>
      <w:r w:rsidRPr="006E4D8B">
        <w:rPr>
          <w:rFonts w:ascii="Century Gothic" w:hAnsi="Century Gothic"/>
        </w:rPr>
        <w:t>En nombre absolu, l’équipement léger est le domaine le plus représenté avec le nombre le plus élevé de points de vente</w:t>
      </w:r>
      <w:r w:rsidR="006A0E08">
        <w:rPr>
          <w:rFonts w:ascii="Century Gothic" w:hAnsi="Century Gothic"/>
        </w:rPr>
        <w:t xml:space="preserve"> </w:t>
      </w:r>
      <w:r w:rsidRPr="006E4D8B">
        <w:rPr>
          <w:rFonts w:ascii="Century Gothic" w:hAnsi="Century Gothic"/>
        </w:rPr>
        <w:t xml:space="preserve">dans le relevé régional. </w:t>
      </w:r>
      <w:r w:rsidR="00DB4854" w:rsidRPr="006E4D8B">
        <w:rPr>
          <w:rFonts w:ascii="Century Gothic" w:hAnsi="Century Gothic"/>
        </w:rPr>
        <w:t>L’HoReCa</w:t>
      </w:r>
      <w:r w:rsidRPr="006E4D8B">
        <w:rPr>
          <w:rFonts w:ascii="Century Gothic" w:hAnsi="Century Gothic"/>
        </w:rPr>
        <w:t xml:space="preserve"> et les services commer</w:t>
      </w:r>
      <w:r w:rsidR="41D70D1E" w:rsidRPr="006E4D8B">
        <w:rPr>
          <w:rFonts w:ascii="Century Gothic" w:hAnsi="Century Gothic"/>
        </w:rPr>
        <w:t>ciaux sont les deux autres domaines les plus représentés avec plus de 6</w:t>
      </w:r>
      <w:r w:rsidR="00DB4854">
        <w:rPr>
          <w:rFonts w:ascii="Century Gothic" w:hAnsi="Century Gothic"/>
        </w:rPr>
        <w:t>.</w:t>
      </w:r>
      <w:r w:rsidR="41D70D1E" w:rsidRPr="006E4D8B">
        <w:rPr>
          <w:rFonts w:ascii="Century Gothic" w:hAnsi="Century Gothic"/>
        </w:rPr>
        <w:t>000 points de vente actifs. Les cellules vides représentent 18% des points de vente relevés.</w:t>
      </w:r>
    </w:p>
    <w:p w14:paraId="664CBEEA" w14:textId="3432A8F1" w:rsidR="00D51F57" w:rsidRPr="006E4D8B" w:rsidRDefault="41D70D1E" w:rsidP="278AE5B2">
      <w:pPr>
        <w:jc w:val="both"/>
        <w:rPr>
          <w:rFonts w:ascii="Century Gothic" w:hAnsi="Century Gothic"/>
        </w:rPr>
      </w:pPr>
      <w:r w:rsidRPr="006E4D8B">
        <w:rPr>
          <w:rFonts w:ascii="Century Gothic" w:hAnsi="Century Gothic"/>
        </w:rPr>
        <w:t>L’étude démontre que d</w:t>
      </w:r>
      <w:r w:rsidR="5400E0B2" w:rsidRPr="006E4D8B">
        <w:rPr>
          <w:rFonts w:ascii="Century Gothic" w:hAnsi="Century Gothic"/>
        </w:rPr>
        <w:t>epuis 2021, l</w:t>
      </w:r>
      <w:r w:rsidR="00D51F57" w:rsidRPr="006E4D8B">
        <w:rPr>
          <w:rFonts w:ascii="Century Gothic" w:hAnsi="Century Gothic"/>
        </w:rPr>
        <w:t xml:space="preserve">’offre commerciale </w:t>
      </w:r>
      <w:r w:rsidR="2916DDE3" w:rsidRPr="006E4D8B">
        <w:rPr>
          <w:rFonts w:ascii="Century Gothic" w:hAnsi="Century Gothic"/>
        </w:rPr>
        <w:t xml:space="preserve">wallonne </w:t>
      </w:r>
      <w:r w:rsidR="00D51F57" w:rsidRPr="006E4D8B">
        <w:rPr>
          <w:rFonts w:ascii="Century Gothic" w:hAnsi="Century Gothic"/>
        </w:rPr>
        <w:t xml:space="preserve">semble avoir atteint un plafond : les périmètres commerciaux attractifs continuent de se maintenir, tandis que les espaces marginalisés connaissent un déclin. </w:t>
      </w:r>
      <w:r w:rsidR="0B0DF29C" w:rsidRPr="006E4D8B">
        <w:rPr>
          <w:rFonts w:ascii="Century Gothic" w:hAnsi="Century Gothic"/>
        </w:rPr>
        <w:t>E</w:t>
      </w:r>
      <w:r w:rsidR="6F865B48" w:rsidRPr="006E4D8B">
        <w:rPr>
          <w:rFonts w:ascii="Century Gothic" w:hAnsi="Century Gothic"/>
        </w:rPr>
        <w:t>ntre 2022 et 2024, l</w:t>
      </w:r>
      <w:r w:rsidR="00D51F57" w:rsidRPr="006E4D8B">
        <w:rPr>
          <w:rFonts w:ascii="Century Gothic" w:hAnsi="Century Gothic"/>
        </w:rPr>
        <w:t xml:space="preserve">e nombre de cellules commerciales, incluant les commerces actifs et vides, est en diminution, avec une baisse marquée du nombre de points de vente dans les centres traditionnels, tandis qu'il reste stable au sein des périmètres périphériques. </w:t>
      </w:r>
      <w:r w:rsidR="0F6F160A" w:rsidRPr="006E4D8B">
        <w:rPr>
          <w:rFonts w:ascii="Century Gothic" w:hAnsi="Century Gothic"/>
        </w:rPr>
        <w:t>L</w:t>
      </w:r>
      <w:r w:rsidR="285A0B66" w:rsidRPr="006E4D8B">
        <w:rPr>
          <w:rFonts w:ascii="Century Gothic" w:hAnsi="Century Gothic"/>
        </w:rPr>
        <w:t xml:space="preserve">e nombre absolu de cellules vides, particulièrement dans les centres d’agglomération n’augmente plus, voire tend à se réduire. </w:t>
      </w:r>
      <w:r w:rsidR="4B5C5E3D" w:rsidRPr="006E4D8B">
        <w:rPr>
          <w:rFonts w:ascii="Century Gothic" w:hAnsi="Century Gothic"/>
        </w:rPr>
        <w:t xml:space="preserve">Ce constat contraste avec la croissance soutenue observée au cours des années 2010, principalement portée par les périmètres commerciaux périphériques. Le début des années 2020 est marqué par </w:t>
      </w:r>
      <w:r w:rsidR="4B5C5E3D" w:rsidRPr="006E4D8B">
        <w:rPr>
          <w:rFonts w:ascii="Century Gothic" w:hAnsi="Century Gothic"/>
        </w:rPr>
        <w:lastRenderedPageBreak/>
        <w:t>une nouvelle tendance lourde</w:t>
      </w:r>
      <w:r w:rsidR="285A0B66" w:rsidRPr="006E4D8B">
        <w:rPr>
          <w:rFonts w:ascii="Century Gothic" w:hAnsi="Century Gothic"/>
        </w:rPr>
        <w:t xml:space="preserve"> : la réduction du stock en cellules commerciales</w:t>
      </w:r>
      <w:r w:rsidR="5DDF39AD" w:rsidRPr="006E4D8B">
        <w:rPr>
          <w:rFonts w:ascii="Century Gothic" w:hAnsi="Century Gothic"/>
        </w:rPr>
        <w:t>, particulièrement au sein des centres traditionnels</w:t>
      </w:r>
      <w:r w:rsidR="285A0B66" w:rsidRPr="006E4D8B">
        <w:rPr>
          <w:rFonts w:ascii="Century Gothic" w:hAnsi="Century Gothic"/>
        </w:rPr>
        <w:t xml:space="preserve">. Ce phénomène ne traduit pas fondamentalement une amélioration de la situation commerciale car le taux de vacance reste régulièrement supérieur à 20 % au sein de nombreux périmètres commerciaux wallons. Cette évolution est préoccupante : l’offre immobilière en locaux commerciaux se réduit globalement, notamment dans les centres urbains traditionnels, mais la part relative restant vide reste la même et ne parvient pas à être comblée. </w:t>
      </w:r>
      <w:r w:rsidR="5AF16C08" w:rsidRPr="006E4D8B">
        <w:rPr>
          <w:rFonts w:ascii="Century Gothic" w:hAnsi="Century Gothic"/>
        </w:rPr>
        <w:t xml:space="preserve">Ces locaux commerciaux sont reconvertis vers des fonctions non-commerciales telles que les services ou </w:t>
      </w:r>
      <w:r w:rsidR="00E73546" w:rsidRPr="006E4D8B">
        <w:rPr>
          <w:rFonts w:ascii="Century Gothic" w:hAnsi="Century Gothic"/>
        </w:rPr>
        <w:t>l’HoReCa</w:t>
      </w:r>
      <w:r w:rsidR="5AF16C08" w:rsidRPr="006E4D8B">
        <w:rPr>
          <w:rFonts w:ascii="Century Gothic" w:hAnsi="Century Gothic"/>
        </w:rPr>
        <w:t xml:space="preserve"> </w:t>
      </w:r>
      <w:r w:rsidR="0010659A">
        <w:rPr>
          <w:rFonts w:ascii="Century Gothic" w:hAnsi="Century Gothic"/>
        </w:rPr>
        <w:t>voire</w:t>
      </w:r>
      <w:r w:rsidR="5AF16C08" w:rsidRPr="006E4D8B">
        <w:rPr>
          <w:rFonts w:ascii="Century Gothic" w:hAnsi="Century Gothic"/>
        </w:rPr>
        <w:t xml:space="preserve"> </w:t>
      </w:r>
      <w:r w:rsidR="723AE386" w:rsidRPr="006E4D8B">
        <w:rPr>
          <w:rFonts w:ascii="Century Gothic" w:hAnsi="Century Gothic"/>
        </w:rPr>
        <w:t xml:space="preserve">sont transformés en </w:t>
      </w:r>
      <w:r w:rsidR="5AF16C08" w:rsidRPr="006E4D8B">
        <w:rPr>
          <w:rFonts w:ascii="Century Gothic" w:hAnsi="Century Gothic"/>
        </w:rPr>
        <w:t xml:space="preserve">logement. </w:t>
      </w:r>
      <w:r w:rsidR="285A0B66" w:rsidRPr="006E4D8B">
        <w:rPr>
          <w:rFonts w:ascii="Century Gothic" w:hAnsi="Century Gothic"/>
        </w:rPr>
        <w:t>Les centres urbains sont donc en pleine mutation et la place historiquement occupée par le commerce de détail y est en régression, soulignant une réorientation des espaces commerciaux et un besoin de réévaluation des stratégies d'aménagement urbain.</w:t>
      </w:r>
    </w:p>
    <w:p w14:paraId="67F4AD01" w14:textId="6BADB079" w:rsidR="1CF5DA6A" w:rsidRPr="006E4D8B" w:rsidRDefault="1CF5DA6A" w:rsidP="278AE5B2">
      <w:pPr>
        <w:jc w:val="both"/>
        <w:rPr>
          <w:rFonts w:ascii="Century Gothic" w:hAnsi="Century Gothic"/>
        </w:rPr>
      </w:pPr>
      <w:r w:rsidRPr="006E4D8B">
        <w:rPr>
          <w:rFonts w:ascii="Century Gothic" w:hAnsi="Century Gothic"/>
        </w:rPr>
        <w:t xml:space="preserve">Cette saturation de l’offre commerciale se matérialise également dans l’analyse des chiffres d’affaires du commerce de détail. Depuis une quinzaine d'années, ce dernier stagne en Belgique. Pourtant, les surfaces nettes de vente n’ont cessé d’augmenter. Cela signifie que les nouvelles surfaces commerciales se développent au détriment de la concurrence existante et de leur chiffre d’affaires. À cela s’ajoute une vacance commerciale en hausse (tant en nombre de points de vente qu’en termes de surface nette), ce qui montre que l’implantation de nouvelles surfaces commerciales ne se fait pas prioritairement dans les espaces vacants. </w:t>
      </w:r>
      <w:r w:rsidR="076B044E" w:rsidRPr="006E4D8B">
        <w:rPr>
          <w:rFonts w:ascii="Century Gothic" w:hAnsi="Century Gothic"/>
        </w:rPr>
        <w:t>Ce constat était déjà relevé dans l’Atlas du Commerce de 2014</w:t>
      </w:r>
      <w:r w:rsidR="003729CD">
        <w:rPr>
          <w:rStyle w:val="Appelnotedebasdep"/>
          <w:rFonts w:ascii="Century Gothic" w:hAnsi="Century Gothic"/>
        </w:rPr>
        <w:footnoteReference w:id="3"/>
      </w:r>
      <w:r w:rsidR="076B044E" w:rsidRPr="006E4D8B">
        <w:rPr>
          <w:rFonts w:ascii="Century Gothic" w:hAnsi="Century Gothic"/>
        </w:rPr>
        <w:t xml:space="preserve"> ayant servi à l’élaboration du Schéma </w:t>
      </w:r>
      <w:r w:rsidR="00E73546">
        <w:rPr>
          <w:rFonts w:ascii="Century Gothic" w:hAnsi="Century Gothic"/>
        </w:rPr>
        <w:t>R</w:t>
      </w:r>
      <w:r w:rsidR="076B044E" w:rsidRPr="006E4D8B">
        <w:rPr>
          <w:rFonts w:ascii="Century Gothic" w:hAnsi="Century Gothic"/>
        </w:rPr>
        <w:t xml:space="preserve">égional de </w:t>
      </w:r>
      <w:r w:rsidR="00E73546">
        <w:rPr>
          <w:rFonts w:ascii="Century Gothic" w:hAnsi="Century Gothic"/>
        </w:rPr>
        <w:t>D</w:t>
      </w:r>
      <w:r w:rsidR="076B044E" w:rsidRPr="006E4D8B">
        <w:rPr>
          <w:rFonts w:ascii="Century Gothic" w:hAnsi="Century Gothic"/>
        </w:rPr>
        <w:t xml:space="preserve">éveloppement </w:t>
      </w:r>
      <w:r w:rsidR="00E73546">
        <w:rPr>
          <w:rFonts w:ascii="Century Gothic" w:hAnsi="Century Gothic"/>
        </w:rPr>
        <w:t>C</w:t>
      </w:r>
      <w:r w:rsidR="076B044E" w:rsidRPr="006E4D8B">
        <w:rPr>
          <w:rFonts w:ascii="Century Gothic" w:hAnsi="Century Gothic"/>
        </w:rPr>
        <w:t>ommercial</w:t>
      </w:r>
      <w:r w:rsidR="00E73546">
        <w:rPr>
          <w:rFonts w:ascii="Century Gothic" w:hAnsi="Century Gothic"/>
        </w:rPr>
        <w:t xml:space="preserve"> (SRDC)</w:t>
      </w:r>
      <w:r w:rsidR="076B044E" w:rsidRPr="006E4D8B">
        <w:rPr>
          <w:rFonts w:ascii="Century Gothic" w:hAnsi="Century Gothic"/>
        </w:rPr>
        <w:t xml:space="preserve"> abrogé en 2024 et remplacé par le SDT. </w:t>
      </w:r>
      <w:r w:rsidRPr="006E4D8B">
        <w:rPr>
          <w:rFonts w:ascii="Century Gothic" w:hAnsi="Century Gothic"/>
        </w:rPr>
        <w:t>Le commerce de détail participe donc à l’artificialisation des terres et à l’étalement urbain</w:t>
      </w:r>
      <w:r w:rsidR="47AF363E" w:rsidRPr="006E4D8B">
        <w:rPr>
          <w:rFonts w:ascii="Century Gothic" w:hAnsi="Century Gothic"/>
        </w:rPr>
        <w:t xml:space="preserve"> </w:t>
      </w:r>
      <w:r w:rsidRPr="006E4D8B">
        <w:rPr>
          <w:rFonts w:ascii="Century Gothic" w:hAnsi="Century Gothic"/>
        </w:rPr>
        <w:t xml:space="preserve">tandis que le souhait des autorités européennes </w:t>
      </w:r>
      <w:r w:rsidR="0C5021F5" w:rsidRPr="006E4D8B">
        <w:rPr>
          <w:rFonts w:ascii="Century Gothic" w:hAnsi="Century Gothic"/>
        </w:rPr>
        <w:t xml:space="preserve">et wallonnes à travers le nouveau SDT </w:t>
      </w:r>
      <w:r w:rsidRPr="006E4D8B">
        <w:rPr>
          <w:rFonts w:ascii="Century Gothic" w:hAnsi="Century Gothic"/>
        </w:rPr>
        <w:t>est de parvenir à un arrêt de l’artificialisation nette des terres d’ici 2050.</w:t>
      </w:r>
    </w:p>
    <w:p w14:paraId="15F880BC" w14:textId="4791F8E6" w:rsidR="001908D7" w:rsidRPr="006E4D8B" w:rsidRDefault="0A4779D7" w:rsidP="001908D7">
      <w:pPr>
        <w:jc w:val="both"/>
        <w:rPr>
          <w:rFonts w:ascii="Century Gothic" w:hAnsi="Century Gothic"/>
        </w:rPr>
      </w:pPr>
      <w:r w:rsidRPr="006E4D8B">
        <w:rPr>
          <w:rFonts w:ascii="Century Gothic" w:hAnsi="Century Gothic"/>
        </w:rPr>
        <w:t>Ces importantes mutations économiques surviennent alors que</w:t>
      </w:r>
      <w:r w:rsidR="0337C97F" w:rsidRPr="006E4D8B">
        <w:rPr>
          <w:rFonts w:ascii="Century Gothic" w:hAnsi="Century Gothic"/>
        </w:rPr>
        <w:t xml:space="preserve"> ces dix dernières années ont vu</w:t>
      </w:r>
      <w:r w:rsidRPr="006E4D8B">
        <w:rPr>
          <w:rFonts w:ascii="Century Gothic" w:hAnsi="Century Gothic"/>
        </w:rPr>
        <w:t xml:space="preserve"> les habitudes des consommateurs s</w:t>
      </w:r>
      <w:r w:rsidR="70F73E21" w:rsidRPr="006E4D8B">
        <w:rPr>
          <w:rFonts w:ascii="Century Gothic" w:hAnsi="Century Gothic"/>
        </w:rPr>
        <w:t>e transformer.</w:t>
      </w:r>
      <w:r w:rsidR="001908D7" w:rsidRPr="006E4D8B">
        <w:rPr>
          <w:rFonts w:ascii="Century Gothic" w:hAnsi="Century Gothic"/>
        </w:rPr>
        <w:t xml:space="preserve"> </w:t>
      </w:r>
      <w:r w:rsidR="055C4EE9" w:rsidRPr="006E4D8B">
        <w:rPr>
          <w:rFonts w:ascii="Century Gothic" w:hAnsi="Century Gothic"/>
        </w:rPr>
        <w:t xml:space="preserve">La </w:t>
      </w:r>
      <w:r w:rsidR="001908D7" w:rsidRPr="006E4D8B">
        <w:rPr>
          <w:rFonts w:ascii="Century Gothic" w:hAnsi="Century Gothic"/>
        </w:rPr>
        <w:t xml:space="preserve">croissance rapide des ventes en ligne a modifié les habitudes de consommation, permettant aux consommateurs d’acheter presque tout, à tout moment et de n’importe où. </w:t>
      </w:r>
    </w:p>
    <w:p w14:paraId="6E3FE0E3" w14:textId="19C671E3" w:rsidR="001908D7" w:rsidRPr="006E4D8B" w:rsidRDefault="59318778" w:rsidP="0A900B43">
      <w:pPr>
        <w:jc w:val="both"/>
        <w:rPr>
          <w:rFonts w:ascii="Century Gothic" w:hAnsi="Century Gothic"/>
        </w:rPr>
      </w:pPr>
      <w:r w:rsidRPr="006E4D8B">
        <w:rPr>
          <w:rFonts w:ascii="Century Gothic" w:hAnsi="Century Gothic"/>
        </w:rPr>
        <w:t>Une partie de plus en plus importante de la population privilégie une consommation responsable, en favorisant les produits durables, éthiques et respectueux de l’environnement. Les consommateurs exigent également plus de transparence de la part des entreprises concernant la provenance des produits, les conditions de travail et l’impact environnemental. Une part de la société qui fait également croître l’industrie du bien-être et fait la part belle aux loisirs, à la santé, au sport et la remise en forme.</w:t>
      </w:r>
      <w:r w:rsidR="6725DFA9" w:rsidRPr="006E4D8B">
        <w:rPr>
          <w:rFonts w:ascii="Century Gothic" w:hAnsi="Century Gothic"/>
        </w:rPr>
        <w:t xml:space="preserve"> Cette évolution influence directement le commerce de détail, en incitant les consommateurs à privilégier l'usage temporaire ou le partage plutôt que l'achat définitif. Pour les commerçants, cela se traduit par un besoin croissant de réinventer leurs offres et modèles d'affaires pour répondre à une clientèle de plus en plus attirée </w:t>
      </w:r>
      <w:r w:rsidR="6725DFA9" w:rsidRPr="006E4D8B">
        <w:rPr>
          <w:rFonts w:ascii="Century Gothic" w:hAnsi="Century Gothic"/>
        </w:rPr>
        <w:lastRenderedPageBreak/>
        <w:t>par des solutions flexibles, économiques et respectueuses de l'environnement. L'économie du partage en Wallonie, en renforçant les pratiques collaboratives, pousse ainsi le commerce local à s'adapter à ces nouvelles attentes pour rester compétitif.</w:t>
      </w:r>
    </w:p>
    <w:p w14:paraId="68D40A2E" w14:textId="244C93F0" w:rsidR="001908D7" w:rsidRPr="006E4D8B" w:rsidRDefault="59318778" w:rsidP="001908D7">
      <w:pPr>
        <w:jc w:val="both"/>
        <w:rPr>
          <w:rFonts w:ascii="Century Gothic" w:hAnsi="Century Gothic"/>
        </w:rPr>
      </w:pPr>
      <w:r w:rsidRPr="006E4D8B">
        <w:rPr>
          <w:rFonts w:ascii="Century Gothic" w:hAnsi="Century Gothic"/>
        </w:rPr>
        <w:t>Enfin, l</w:t>
      </w:r>
      <w:r w:rsidR="001908D7" w:rsidRPr="006E4D8B">
        <w:rPr>
          <w:rFonts w:ascii="Century Gothic" w:hAnsi="Century Gothic"/>
        </w:rPr>
        <w:t>e vieillissement accru de la population, la diminution de la taille des ménages et les disparités socio-économiques croissantes, impactent la manière de consommer</w:t>
      </w:r>
      <w:r w:rsidR="05EE0509" w:rsidRPr="006E4D8B">
        <w:rPr>
          <w:rFonts w:ascii="Century Gothic" w:hAnsi="Century Gothic"/>
        </w:rPr>
        <w:t xml:space="preserve"> et</w:t>
      </w:r>
      <w:r w:rsidR="001908D7" w:rsidRPr="006E4D8B">
        <w:rPr>
          <w:rFonts w:ascii="Century Gothic" w:hAnsi="Century Gothic"/>
        </w:rPr>
        <w:t xml:space="preserve"> les dépenses</w:t>
      </w:r>
      <w:r w:rsidR="16930FC6" w:rsidRPr="006E4D8B">
        <w:rPr>
          <w:rFonts w:ascii="Century Gothic" w:hAnsi="Century Gothic"/>
        </w:rPr>
        <w:t>. Ces différents éléments transforment la logique d’implantation des commerces et donc</w:t>
      </w:r>
      <w:r w:rsidR="001908D7" w:rsidRPr="006E4D8B">
        <w:rPr>
          <w:rFonts w:ascii="Century Gothic" w:hAnsi="Century Gothic"/>
        </w:rPr>
        <w:t xml:space="preserve"> la géographie commerciale</w:t>
      </w:r>
      <w:r w:rsidR="0EAB18C5" w:rsidRPr="006E4D8B">
        <w:rPr>
          <w:rFonts w:ascii="Century Gothic" w:hAnsi="Century Gothic"/>
        </w:rPr>
        <w:t xml:space="preserve"> de la Wallonie.</w:t>
      </w:r>
      <w:r w:rsidR="001908D7" w:rsidRPr="006E4D8B">
        <w:rPr>
          <w:rFonts w:ascii="Century Gothic" w:hAnsi="Century Gothic"/>
        </w:rPr>
        <w:t xml:space="preserve"> </w:t>
      </w:r>
      <w:r w:rsidR="1822B048" w:rsidRPr="006E4D8B">
        <w:rPr>
          <w:rFonts w:ascii="Century Gothic" w:hAnsi="Century Gothic"/>
        </w:rPr>
        <w:t>Cette</w:t>
      </w:r>
      <w:r w:rsidR="001908D7" w:rsidRPr="006E4D8B">
        <w:rPr>
          <w:rFonts w:ascii="Century Gothic" w:hAnsi="Century Gothic"/>
        </w:rPr>
        <w:t xml:space="preserve"> transition lente et modérée se traduit d’ores et déjà dans certaines formes de commerces tels que les pop-up stores, les magasins partagés, la seconde main, l’intérêt pour les magasins bio, la </w:t>
      </w:r>
      <w:r w:rsidR="007A0DBF">
        <w:rPr>
          <w:rFonts w:ascii="Century Gothic" w:hAnsi="Century Gothic"/>
        </w:rPr>
        <w:t>« </w:t>
      </w:r>
      <w:proofErr w:type="spellStart"/>
      <w:r w:rsidR="001908D7" w:rsidRPr="006E4D8B">
        <w:rPr>
          <w:rFonts w:ascii="Century Gothic" w:hAnsi="Century Gothic"/>
        </w:rPr>
        <w:t>showroomisation</w:t>
      </w:r>
      <w:proofErr w:type="spellEnd"/>
      <w:r w:rsidR="007A0DBF">
        <w:rPr>
          <w:rFonts w:ascii="Century Gothic" w:hAnsi="Century Gothic"/>
        </w:rPr>
        <w:t> »</w:t>
      </w:r>
      <w:r w:rsidR="001908D7" w:rsidRPr="006E4D8B">
        <w:rPr>
          <w:rFonts w:ascii="Century Gothic" w:hAnsi="Century Gothic"/>
        </w:rPr>
        <w:t xml:space="preserve"> des points de vente, le web-to-store, etc.</w:t>
      </w:r>
    </w:p>
    <w:p w14:paraId="79D3E6C2" w14:textId="756484D8" w:rsidR="00D45392" w:rsidRPr="006E4D8B" w:rsidRDefault="00A9335E" w:rsidP="008B6EDA">
      <w:pPr>
        <w:jc w:val="both"/>
        <w:rPr>
          <w:rFonts w:ascii="Century Gothic" w:hAnsi="Century Gothic"/>
        </w:rPr>
      </w:pPr>
      <w:r w:rsidRPr="006E4D8B">
        <w:rPr>
          <w:rFonts w:ascii="Century Gothic" w:hAnsi="Century Gothic"/>
        </w:rPr>
        <w:t xml:space="preserve"> </w:t>
      </w:r>
    </w:p>
    <w:sectPr w:rsidR="00D45392" w:rsidRPr="006E4D8B" w:rsidSect="00D4539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A561E" w14:textId="77777777" w:rsidR="006E4D8B" w:rsidRDefault="006E4D8B" w:rsidP="006E4D8B">
      <w:pPr>
        <w:spacing w:after="0" w:line="240" w:lineRule="auto"/>
      </w:pPr>
      <w:r>
        <w:separator/>
      </w:r>
    </w:p>
  </w:endnote>
  <w:endnote w:type="continuationSeparator" w:id="0">
    <w:p w14:paraId="043923D7" w14:textId="77777777" w:rsidR="006E4D8B" w:rsidRDefault="006E4D8B" w:rsidP="006E4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rPr>
      <w:id w:val="1226265782"/>
      <w:docPartObj>
        <w:docPartGallery w:val="Page Numbers (Bottom of Page)"/>
        <w:docPartUnique/>
      </w:docPartObj>
    </w:sdtPr>
    <w:sdtEndPr>
      <w:rPr>
        <w:i/>
        <w:iCs/>
      </w:rPr>
    </w:sdtEndPr>
    <w:sdtContent>
      <w:p w14:paraId="0D3DCC64" w14:textId="16A18F22" w:rsidR="006E4D8B" w:rsidRPr="00E9234A" w:rsidRDefault="006E4D8B" w:rsidP="006E4D8B">
        <w:pPr>
          <w:pStyle w:val="Pieddepage"/>
          <w:jc w:val="both"/>
          <w:rPr>
            <w:rFonts w:ascii="Century Gothic" w:hAnsi="Century Gothic"/>
            <w:color w:val="7F7F7F" w:themeColor="text1" w:themeTint="80"/>
            <w:sz w:val="18"/>
            <w:szCs w:val="18"/>
          </w:rPr>
        </w:pPr>
        <w:r w:rsidRPr="00E9234A">
          <w:rPr>
            <w:rFonts w:ascii="Century Gothic" w:hAnsi="Century Gothic"/>
            <w:color w:val="7F7F7F" w:themeColor="text1" w:themeTint="80"/>
            <w:sz w:val="18"/>
            <w:szCs w:val="18"/>
          </w:rPr>
          <w:t xml:space="preserve">                           </w:t>
        </w:r>
        <w:r>
          <w:rPr>
            <w:rFonts w:ascii="Century Gothic" w:hAnsi="Century Gothic"/>
            <w:color w:val="7F7F7F" w:themeColor="text1" w:themeTint="80"/>
            <w:sz w:val="18"/>
            <w:szCs w:val="18"/>
          </w:rPr>
          <w:t xml:space="preserve">                             </w:t>
        </w:r>
        <w:r w:rsidRPr="00E9234A">
          <w:rPr>
            <w:rFonts w:ascii="Century Gothic" w:hAnsi="Century Gothic"/>
            <w:color w:val="7F7F7F" w:themeColor="text1" w:themeTint="80"/>
            <w:sz w:val="18"/>
            <w:szCs w:val="18"/>
          </w:rPr>
          <w:t xml:space="preserve">    </w:t>
        </w:r>
        <w:r w:rsidR="00DB4854">
          <w:rPr>
            <w:rFonts w:ascii="Century Gothic" w:hAnsi="Century Gothic"/>
            <w:color w:val="7F7F7F" w:themeColor="text1" w:themeTint="80"/>
            <w:sz w:val="18"/>
            <w:szCs w:val="18"/>
          </w:rPr>
          <w:t xml:space="preserve">        </w:t>
        </w:r>
        <w:r w:rsidRPr="00E9234A">
          <w:rPr>
            <w:rFonts w:ascii="Century Gothic" w:hAnsi="Century Gothic"/>
            <w:color w:val="7F7F7F" w:themeColor="text1" w:themeTint="80"/>
            <w:sz w:val="18"/>
            <w:szCs w:val="18"/>
          </w:rPr>
          <w:t xml:space="preserve"> </w:t>
        </w:r>
        <w:r>
          <w:rPr>
            <w:rFonts w:ascii="Century Gothic" w:hAnsi="Century Gothic"/>
            <w:color w:val="7F7F7F" w:themeColor="text1" w:themeTint="80"/>
            <w:sz w:val="18"/>
            <w:szCs w:val="18"/>
          </w:rPr>
          <w:t>DIAGNOTIC COMMERCIAL</w:t>
        </w:r>
        <w:r w:rsidRPr="00E9234A">
          <w:rPr>
            <w:rFonts w:ascii="Century Gothic" w:hAnsi="Century Gothic"/>
            <w:color w:val="7F7F7F" w:themeColor="text1" w:themeTint="80"/>
            <w:sz w:val="18"/>
            <w:szCs w:val="18"/>
          </w:rPr>
          <w:t xml:space="preserve">                  </w:t>
        </w:r>
        <w:r w:rsidR="00DB4854">
          <w:rPr>
            <w:rFonts w:ascii="Century Gothic" w:hAnsi="Century Gothic"/>
            <w:color w:val="7F7F7F" w:themeColor="text1" w:themeTint="80"/>
            <w:sz w:val="18"/>
            <w:szCs w:val="18"/>
          </w:rPr>
          <w:t xml:space="preserve">     </w:t>
        </w:r>
        <w:r w:rsidRPr="00E9234A">
          <w:rPr>
            <w:rFonts w:ascii="Century Gothic" w:hAnsi="Century Gothic"/>
            <w:color w:val="7F7F7F" w:themeColor="text1" w:themeTint="80"/>
            <w:sz w:val="18"/>
            <w:szCs w:val="18"/>
          </w:rPr>
          <w:t xml:space="preserve">                                         </w:t>
        </w:r>
        <w:r w:rsidRPr="00E9234A">
          <w:rPr>
            <w:rFonts w:ascii="Century Gothic" w:hAnsi="Century Gothic"/>
            <w:color w:val="7F7F7F" w:themeColor="text1" w:themeTint="80"/>
            <w:sz w:val="18"/>
            <w:szCs w:val="18"/>
          </w:rPr>
          <w:fldChar w:fldCharType="begin"/>
        </w:r>
        <w:r w:rsidRPr="00E9234A">
          <w:rPr>
            <w:rFonts w:ascii="Century Gothic" w:hAnsi="Century Gothic"/>
            <w:color w:val="7F7F7F" w:themeColor="text1" w:themeTint="80"/>
            <w:sz w:val="18"/>
            <w:szCs w:val="18"/>
          </w:rPr>
          <w:instrText>PAGE   \* MERGEFORMAT</w:instrText>
        </w:r>
        <w:r w:rsidRPr="00E9234A">
          <w:rPr>
            <w:rFonts w:ascii="Century Gothic" w:hAnsi="Century Gothic"/>
            <w:color w:val="7F7F7F" w:themeColor="text1" w:themeTint="80"/>
            <w:sz w:val="18"/>
            <w:szCs w:val="18"/>
          </w:rPr>
          <w:fldChar w:fldCharType="separate"/>
        </w:r>
        <w:r>
          <w:rPr>
            <w:rFonts w:ascii="Century Gothic" w:hAnsi="Century Gothic"/>
            <w:color w:val="7F7F7F" w:themeColor="text1" w:themeTint="80"/>
            <w:sz w:val="18"/>
            <w:szCs w:val="18"/>
          </w:rPr>
          <w:t>2</w:t>
        </w:r>
        <w:r w:rsidRPr="00E9234A">
          <w:rPr>
            <w:rFonts w:ascii="Century Gothic" w:hAnsi="Century Gothic"/>
            <w:color w:val="7F7F7F" w:themeColor="text1" w:themeTint="80"/>
            <w:sz w:val="18"/>
            <w:szCs w:val="18"/>
          </w:rPr>
          <w:fldChar w:fldCharType="end"/>
        </w:r>
      </w:p>
      <w:p w14:paraId="5BEAFE19" w14:textId="3F887F0E" w:rsidR="006E4D8B" w:rsidRPr="006E4D8B" w:rsidRDefault="006E4D8B" w:rsidP="006E4D8B">
        <w:pPr>
          <w:pStyle w:val="Pieddepage"/>
          <w:jc w:val="center"/>
          <w:rPr>
            <w:i/>
            <w:iCs/>
            <w:color w:val="808080" w:themeColor="background1" w:themeShade="80"/>
          </w:rPr>
        </w:pPr>
        <w:r>
          <w:rPr>
            <w:rFonts w:ascii="Century Gothic" w:hAnsi="Century Gothic"/>
            <w:i/>
            <w:iCs/>
            <w:color w:val="7F7F7F" w:themeColor="text1" w:themeTint="80"/>
            <w:sz w:val="18"/>
            <w:szCs w:val="18"/>
          </w:rPr>
          <w:t>Résumé</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D2FC7" w14:textId="77777777" w:rsidR="006E4D8B" w:rsidRDefault="006E4D8B" w:rsidP="006E4D8B">
      <w:pPr>
        <w:spacing w:after="0" w:line="240" w:lineRule="auto"/>
      </w:pPr>
      <w:r>
        <w:separator/>
      </w:r>
    </w:p>
  </w:footnote>
  <w:footnote w:type="continuationSeparator" w:id="0">
    <w:p w14:paraId="363B67A7" w14:textId="77777777" w:rsidR="006E4D8B" w:rsidRDefault="006E4D8B" w:rsidP="006E4D8B">
      <w:pPr>
        <w:spacing w:after="0" w:line="240" w:lineRule="auto"/>
      </w:pPr>
      <w:r>
        <w:continuationSeparator/>
      </w:r>
    </w:p>
  </w:footnote>
  <w:footnote w:id="1">
    <w:p w14:paraId="573E60E7" w14:textId="173D7D9C" w:rsidR="00833134" w:rsidRPr="00833134" w:rsidRDefault="00833134">
      <w:pPr>
        <w:pStyle w:val="Notedebasdepage"/>
        <w:rPr>
          <w:rFonts w:ascii="Century Gothic" w:hAnsi="Century Gothic"/>
          <w:sz w:val="18"/>
          <w:szCs w:val="18"/>
        </w:rPr>
      </w:pPr>
      <w:r w:rsidRPr="00833134">
        <w:rPr>
          <w:rStyle w:val="Appelnotedebasdep"/>
          <w:rFonts w:ascii="Century Gothic" w:hAnsi="Century Gothic"/>
          <w:sz w:val="18"/>
          <w:szCs w:val="18"/>
        </w:rPr>
        <w:footnoteRef/>
      </w:r>
      <w:r w:rsidRPr="00833134">
        <w:rPr>
          <w:rFonts w:ascii="Century Gothic" w:hAnsi="Century Gothic"/>
          <w:sz w:val="18"/>
          <w:szCs w:val="18"/>
        </w:rPr>
        <w:t xml:space="preserve"> </w:t>
      </w:r>
      <w:hyperlink r:id="rId1" w:tgtFrame="_blank" w:tooltip="https://geoportail.wallonie.be/catalogue/aa59b680-4784-4c27-b90c-963568f945e2.html" w:history="1">
        <w:r w:rsidRPr="00833134">
          <w:rPr>
            <w:rStyle w:val="Lienhypertexte"/>
            <w:rFonts w:ascii="Century Gothic" w:hAnsi="Century Gothic"/>
            <w:sz w:val="18"/>
            <w:szCs w:val="18"/>
          </w:rPr>
          <w:t>https://geoportail.wallonie.be/catalogue/aa59b680-4784-4c27-b90c-963568f945e2.html</w:t>
        </w:r>
      </w:hyperlink>
      <w:r w:rsidRPr="00833134">
        <w:rPr>
          <w:rFonts w:ascii="Century Gothic" w:hAnsi="Century Gothic"/>
          <w:sz w:val="18"/>
          <w:szCs w:val="18"/>
        </w:rPr>
        <w:t> </w:t>
      </w:r>
    </w:p>
  </w:footnote>
  <w:footnote w:id="2">
    <w:p w14:paraId="0DA9AB24" w14:textId="5E5D0EB1" w:rsidR="006A41FC" w:rsidRPr="006A41FC" w:rsidRDefault="006A41FC">
      <w:pPr>
        <w:pStyle w:val="Notedebasdepage"/>
        <w:rPr>
          <w:rFonts w:ascii="Century Gothic" w:hAnsi="Century Gothic"/>
          <w:sz w:val="18"/>
          <w:szCs w:val="18"/>
        </w:rPr>
      </w:pPr>
      <w:r w:rsidRPr="006A41FC">
        <w:rPr>
          <w:rStyle w:val="Appelnotedebasdep"/>
          <w:rFonts w:ascii="Century Gothic" w:hAnsi="Century Gothic"/>
          <w:sz w:val="18"/>
          <w:szCs w:val="18"/>
        </w:rPr>
        <w:footnoteRef/>
      </w:r>
      <w:r w:rsidRPr="006A41FC">
        <w:rPr>
          <w:rFonts w:ascii="Century Gothic" w:hAnsi="Century Gothic"/>
          <w:sz w:val="18"/>
          <w:szCs w:val="18"/>
        </w:rPr>
        <w:t xml:space="preserve"> </w:t>
      </w:r>
      <w:hyperlink r:id="rId2" w:history="1">
        <w:r w:rsidRPr="006A41FC">
          <w:rPr>
            <w:rStyle w:val="Lienhypertexte"/>
            <w:rFonts w:ascii="Century Gothic" w:hAnsi="Century Gothic"/>
            <w:sz w:val="18"/>
            <w:szCs w:val="18"/>
          </w:rPr>
          <w:t>https://eur-lex.europa.eu/legal-content/FR/TXT/?uri=CELEX:32006L0123</w:t>
        </w:r>
      </w:hyperlink>
      <w:r w:rsidRPr="006A41FC">
        <w:rPr>
          <w:rFonts w:ascii="Century Gothic" w:hAnsi="Century Gothic"/>
          <w:sz w:val="18"/>
          <w:szCs w:val="18"/>
        </w:rPr>
        <w:t xml:space="preserve"> </w:t>
      </w:r>
    </w:p>
  </w:footnote>
  <w:footnote w:id="3">
    <w:p w14:paraId="015800C8" w14:textId="5B9E1713" w:rsidR="003729CD" w:rsidRPr="003729CD" w:rsidRDefault="003729CD" w:rsidP="003729CD">
      <w:pPr>
        <w:pStyle w:val="Notedebasdepage"/>
        <w:jc w:val="both"/>
        <w:rPr>
          <w:rFonts w:ascii="Century Gothic" w:hAnsi="Century Gothic"/>
          <w:sz w:val="18"/>
          <w:szCs w:val="18"/>
        </w:rPr>
      </w:pPr>
      <w:r w:rsidRPr="003729CD">
        <w:rPr>
          <w:rStyle w:val="Appelnotedebasdep"/>
          <w:rFonts w:ascii="Century Gothic" w:hAnsi="Century Gothic"/>
          <w:sz w:val="18"/>
          <w:szCs w:val="18"/>
        </w:rPr>
        <w:footnoteRef/>
      </w:r>
      <w:r w:rsidRPr="003729CD">
        <w:rPr>
          <w:rFonts w:ascii="Century Gothic" w:hAnsi="Century Gothic"/>
          <w:sz w:val="18"/>
          <w:szCs w:val="18"/>
        </w:rPr>
        <w:t xml:space="preserve"> Atlas du commerce en Wallonie, 2014. </w:t>
      </w:r>
      <w:proofErr w:type="gramStart"/>
      <w:r w:rsidRPr="003729CD">
        <w:rPr>
          <w:rFonts w:ascii="Century Gothic" w:hAnsi="Century Gothic"/>
          <w:sz w:val="18"/>
          <w:szCs w:val="18"/>
        </w:rPr>
        <w:t>Presse universitaires</w:t>
      </w:r>
      <w:proofErr w:type="gramEnd"/>
      <w:r w:rsidRPr="003729CD">
        <w:rPr>
          <w:rFonts w:ascii="Century Gothic" w:hAnsi="Century Gothic"/>
          <w:sz w:val="18"/>
          <w:szCs w:val="18"/>
        </w:rPr>
        <w:t xml:space="preserve"> de Liège</w:t>
      </w:r>
      <w:r w:rsidR="00E246BC">
        <w:rPr>
          <w:rFonts w:ascii="Century Gothic" w:hAnsi="Century Gothic"/>
          <w:sz w:val="18"/>
          <w:szCs w:val="18"/>
        </w:rPr>
        <w:t> :</w:t>
      </w:r>
      <w:r w:rsidRPr="003729CD">
        <w:rPr>
          <w:rFonts w:ascii="Century Gothic" w:hAnsi="Century Gothic"/>
          <w:sz w:val="18"/>
          <w:szCs w:val="18"/>
        </w:rPr>
        <w:t xml:space="preserve"> Guénaël Devillet, Mathieu </w:t>
      </w:r>
      <w:proofErr w:type="spellStart"/>
      <w:r w:rsidRPr="003729CD">
        <w:rPr>
          <w:rFonts w:ascii="Century Gothic" w:hAnsi="Century Gothic"/>
          <w:sz w:val="18"/>
          <w:szCs w:val="18"/>
        </w:rPr>
        <w:t>Jaspard</w:t>
      </w:r>
      <w:proofErr w:type="spellEnd"/>
      <w:r w:rsidRPr="003729CD">
        <w:rPr>
          <w:rFonts w:ascii="Century Gothic" w:hAnsi="Century Gothic"/>
          <w:sz w:val="18"/>
          <w:szCs w:val="18"/>
        </w:rPr>
        <w:t xml:space="preserve">, Juan Vasquez </w:t>
      </w:r>
      <w:proofErr w:type="spellStart"/>
      <w:r w:rsidRPr="003729CD">
        <w:rPr>
          <w:rFonts w:ascii="Century Gothic" w:hAnsi="Century Gothic"/>
          <w:sz w:val="18"/>
          <w:szCs w:val="18"/>
        </w:rPr>
        <w:t>Parras</w:t>
      </w:r>
      <w:proofErr w:type="spellEnd"/>
      <w:r w:rsidRPr="003729CD">
        <w:rPr>
          <w:rFonts w:ascii="Century Gothic" w:hAnsi="Century Gothic"/>
          <w:sz w:val="18"/>
          <w:szCs w:val="18"/>
        </w:rPr>
        <w:t xml:space="preserve">, </w:t>
      </w:r>
      <w:proofErr w:type="spellStart"/>
      <w:r w:rsidRPr="003729CD">
        <w:rPr>
          <w:rFonts w:ascii="Century Gothic" w:hAnsi="Century Gothic"/>
          <w:sz w:val="18"/>
          <w:szCs w:val="18"/>
        </w:rPr>
        <w:t>ULg</w:t>
      </w:r>
      <w:proofErr w:type="spellEnd"/>
      <w:r w:rsidRPr="003729CD">
        <w:rPr>
          <w:rFonts w:ascii="Century Gothic" w:hAnsi="Century Gothic"/>
          <w:sz w:val="18"/>
          <w:szCs w:val="18"/>
        </w:rPr>
        <w:t>-SEGEFA.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D60C" w14:textId="77777777" w:rsidR="006E4D8B" w:rsidRPr="002044D5" w:rsidRDefault="006E4D8B" w:rsidP="006E4D8B">
    <w:pPr>
      <w:pStyle w:val="En-tte"/>
      <w:jc w:val="center"/>
      <w:rPr>
        <w:rFonts w:ascii="Century Gothic" w:hAnsi="Century Gothic"/>
        <w:color w:val="7F7F7F" w:themeColor="text1" w:themeTint="80"/>
        <w:sz w:val="16"/>
        <w:szCs w:val="16"/>
      </w:rPr>
    </w:pPr>
    <w:r>
      <w:rPr>
        <w:rFonts w:ascii="Century Gothic" w:hAnsi="Century Gothic"/>
        <w:noProof/>
        <w:sz w:val="16"/>
        <w:szCs w:val="16"/>
      </w:rPr>
      <w:drawing>
        <wp:anchor distT="0" distB="0" distL="114300" distR="114300" simplePos="0" relativeHeight="251659264" behindDoc="0" locked="0" layoutInCell="1" allowOverlap="1" wp14:anchorId="2E30DAC1" wp14:editId="2344EDEA">
          <wp:simplePos x="0" y="0"/>
          <wp:positionH relativeFrom="column">
            <wp:posOffset>-770021</wp:posOffset>
          </wp:positionH>
          <wp:positionV relativeFrom="paragraph">
            <wp:posOffset>-279768</wp:posOffset>
          </wp:positionV>
          <wp:extent cx="1120140" cy="606425"/>
          <wp:effectExtent l="0" t="0" r="3810" b="3175"/>
          <wp:wrapNone/>
          <wp:docPr id="15000334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606425"/>
                  </a:xfrm>
                  <a:prstGeom prst="rect">
                    <a:avLst/>
                  </a:prstGeom>
                  <a:noFill/>
                </pic:spPr>
              </pic:pic>
            </a:graphicData>
          </a:graphic>
          <wp14:sizeRelH relativeFrom="margin">
            <wp14:pctWidth>0</wp14:pctWidth>
          </wp14:sizeRelH>
          <wp14:sizeRelV relativeFrom="margin">
            <wp14:pctHeight>0</wp14:pctHeight>
          </wp14:sizeRelV>
        </wp:anchor>
      </w:drawing>
    </w:r>
    <w:r w:rsidRPr="002044D5">
      <w:rPr>
        <w:rFonts w:ascii="Century Gothic" w:hAnsi="Century Gothic"/>
        <w:color w:val="7F7F7F" w:themeColor="text1" w:themeTint="80"/>
        <w:sz w:val="16"/>
        <w:szCs w:val="16"/>
      </w:rPr>
      <w:t>SPW-EER-DIC</w:t>
    </w:r>
  </w:p>
  <w:p w14:paraId="22D05A9C" w14:textId="77777777" w:rsidR="006E4D8B" w:rsidRPr="002044D5" w:rsidRDefault="006E4D8B" w:rsidP="006E4D8B">
    <w:pPr>
      <w:pStyle w:val="En-tte"/>
      <w:jc w:val="center"/>
      <w:rPr>
        <w:rFonts w:ascii="Century Gothic" w:hAnsi="Century Gothic"/>
        <w:color w:val="7F7F7F" w:themeColor="text1" w:themeTint="80"/>
        <w:sz w:val="16"/>
        <w:szCs w:val="16"/>
      </w:rPr>
    </w:pPr>
    <w:r w:rsidRPr="002044D5">
      <w:rPr>
        <w:rFonts w:ascii="Century Gothic" w:hAnsi="Century Gothic"/>
        <w:color w:val="7F7F7F" w:themeColor="text1" w:themeTint="80"/>
        <w:sz w:val="16"/>
        <w:szCs w:val="16"/>
      </w:rPr>
      <w:t>Direction des Implantations Commerciales</w:t>
    </w:r>
  </w:p>
  <w:p w14:paraId="5DCFFE8D" w14:textId="77777777" w:rsidR="006E4D8B" w:rsidRDefault="006E4D8B" w:rsidP="006E4D8B">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C1E19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35168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486BD4"/>
    <w:rsid w:val="0001655F"/>
    <w:rsid w:val="00030D7B"/>
    <w:rsid w:val="000612AB"/>
    <w:rsid w:val="000734D6"/>
    <w:rsid w:val="0010659A"/>
    <w:rsid w:val="00126E55"/>
    <w:rsid w:val="001908D7"/>
    <w:rsid w:val="001E4E63"/>
    <w:rsid w:val="00200145"/>
    <w:rsid w:val="002879C2"/>
    <w:rsid w:val="002959DF"/>
    <w:rsid w:val="00310257"/>
    <w:rsid w:val="003729CD"/>
    <w:rsid w:val="0038745F"/>
    <w:rsid w:val="003A4871"/>
    <w:rsid w:val="003D40D2"/>
    <w:rsid w:val="004576F3"/>
    <w:rsid w:val="00473DEF"/>
    <w:rsid w:val="00486BD4"/>
    <w:rsid w:val="00540FDD"/>
    <w:rsid w:val="00552179"/>
    <w:rsid w:val="00553797"/>
    <w:rsid w:val="0060553E"/>
    <w:rsid w:val="00612FE3"/>
    <w:rsid w:val="00625A78"/>
    <w:rsid w:val="00652F76"/>
    <w:rsid w:val="00687EAB"/>
    <w:rsid w:val="006A0E08"/>
    <w:rsid w:val="006A41FC"/>
    <w:rsid w:val="006B5716"/>
    <w:rsid w:val="006E4D8B"/>
    <w:rsid w:val="00705AC5"/>
    <w:rsid w:val="00730D2C"/>
    <w:rsid w:val="007A0DBF"/>
    <w:rsid w:val="007B404A"/>
    <w:rsid w:val="007D67A7"/>
    <w:rsid w:val="00833134"/>
    <w:rsid w:val="00843000"/>
    <w:rsid w:val="00871F5F"/>
    <w:rsid w:val="00874233"/>
    <w:rsid w:val="008B6EDA"/>
    <w:rsid w:val="008C1747"/>
    <w:rsid w:val="008C459D"/>
    <w:rsid w:val="00901546"/>
    <w:rsid w:val="00913B7D"/>
    <w:rsid w:val="00915926"/>
    <w:rsid w:val="00927803"/>
    <w:rsid w:val="0098284F"/>
    <w:rsid w:val="009B500A"/>
    <w:rsid w:val="00A9335E"/>
    <w:rsid w:val="00B23D62"/>
    <w:rsid w:val="00BA489B"/>
    <w:rsid w:val="00BC502E"/>
    <w:rsid w:val="00BE09D5"/>
    <w:rsid w:val="00C2551C"/>
    <w:rsid w:val="00C577C2"/>
    <w:rsid w:val="00C86DA2"/>
    <w:rsid w:val="00CB03D3"/>
    <w:rsid w:val="00CB55A7"/>
    <w:rsid w:val="00CE45D1"/>
    <w:rsid w:val="00D20745"/>
    <w:rsid w:val="00D45392"/>
    <w:rsid w:val="00D51F57"/>
    <w:rsid w:val="00DB4854"/>
    <w:rsid w:val="00DC1180"/>
    <w:rsid w:val="00DE7533"/>
    <w:rsid w:val="00E17EF0"/>
    <w:rsid w:val="00E246BC"/>
    <w:rsid w:val="00E3171D"/>
    <w:rsid w:val="00E456B0"/>
    <w:rsid w:val="00E47227"/>
    <w:rsid w:val="00E72736"/>
    <w:rsid w:val="00E73546"/>
    <w:rsid w:val="00F12527"/>
    <w:rsid w:val="00F323D2"/>
    <w:rsid w:val="00F778A1"/>
    <w:rsid w:val="00FA4C52"/>
    <w:rsid w:val="00FA7C28"/>
    <w:rsid w:val="01C02486"/>
    <w:rsid w:val="0337C97F"/>
    <w:rsid w:val="037EE3C0"/>
    <w:rsid w:val="0449875A"/>
    <w:rsid w:val="055C4EE9"/>
    <w:rsid w:val="05EE0509"/>
    <w:rsid w:val="076B044E"/>
    <w:rsid w:val="083CF692"/>
    <w:rsid w:val="0A4779D7"/>
    <w:rsid w:val="0A900B43"/>
    <w:rsid w:val="0B0DF29C"/>
    <w:rsid w:val="0C5021F5"/>
    <w:rsid w:val="0CE5EDEF"/>
    <w:rsid w:val="0CFF1335"/>
    <w:rsid w:val="0EAB18C5"/>
    <w:rsid w:val="0F2F69A2"/>
    <w:rsid w:val="0F6F160A"/>
    <w:rsid w:val="10545354"/>
    <w:rsid w:val="109D9411"/>
    <w:rsid w:val="10EA6C8F"/>
    <w:rsid w:val="119CA9AF"/>
    <w:rsid w:val="149747C8"/>
    <w:rsid w:val="158AF901"/>
    <w:rsid w:val="1593C063"/>
    <w:rsid w:val="163ADC5D"/>
    <w:rsid w:val="16930FC6"/>
    <w:rsid w:val="1822B048"/>
    <w:rsid w:val="1A25C002"/>
    <w:rsid w:val="1AE373EA"/>
    <w:rsid w:val="1B48D733"/>
    <w:rsid w:val="1C961188"/>
    <w:rsid w:val="1CD889D1"/>
    <w:rsid w:val="1CEC1194"/>
    <w:rsid w:val="1CF5DA6A"/>
    <w:rsid w:val="1EA30C17"/>
    <w:rsid w:val="1EB0F140"/>
    <w:rsid w:val="1EE53840"/>
    <w:rsid w:val="206C2D49"/>
    <w:rsid w:val="207E1A2A"/>
    <w:rsid w:val="223DB971"/>
    <w:rsid w:val="225F9572"/>
    <w:rsid w:val="22DE2675"/>
    <w:rsid w:val="2557D478"/>
    <w:rsid w:val="260695B7"/>
    <w:rsid w:val="26893C4D"/>
    <w:rsid w:val="26DDC57D"/>
    <w:rsid w:val="26EDCCE7"/>
    <w:rsid w:val="2754C39D"/>
    <w:rsid w:val="278AE5B2"/>
    <w:rsid w:val="27D46722"/>
    <w:rsid w:val="27E58C67"/>
    <w:rsid w:val="285A0B66"/>
    <w:rsid w:val="28C21545"/>
    <w:rsid w:val="29049B5B"/>
    <w:rsid w:val="2916DDE3"/>
    <w:rsid w:val="2A989B93"/>
    <w:rsid w:val="2C0088D9"/>
    <w:rsid w:val="2C4DFE6F"/>
    <w:rsid w:val="2DDA3837"/>
    <w:rsid w:val="3115973F"/>
    <w:rsid w:val="333AF393"/>
    <w:rsid w:val="333DAEF6"/>
    <w:rsid w:val="33A67467"/>
    <w:rsid w:val="34826F8E"/>
    <w:rsid w:val="35B40B49"/>
    <w:rsid w:val="37DEF313"/>
    <w:rsid w:val="3A72081A"/>
    <w:rsid w:val="3C554976"/>
    <w:rsid w:val="3DE456B9"/>
    <w:rsid w:val="3E020BC4"/>
    <w:rsid w:val="3FAFE78B"/>
    <w:rsid w:val="4094FD03"/>
    <w:rsid w:val="41D70D1E"/>
    <w:rsid w:val="42C857D5"/>
    <w:rsid w:val="45A9490A"/>
    <w:rsid w:val="464C5DC9"/>
    <w:rsid w:val="46F8EE66"/>
    <w:rsid w:val="472D1541"/>
    <w:rsid w:val="47AF363E"/>
    <w:rsid w:val="47FD09D2"/>
    <w:rsid w:val="48683686"/>
    <w:rsid w:val="4886C6B9"/>
    <w:rsid w:val="4B17F3A5"/>
    <w:rsid w:val="4B5C5E3D"/>
    <w:rsid w:val="4B6301BE"/>
    <w:rsid w:val="4CDD871C"/>
    <w:rsid w:val="4D914F69"/>
    <w:rsid w:val="4F35DA4B"/>
    <w:rsid w:val="501ADCA9"/>
    <w:rsid w:val="509CF1EA"/>
    <w:rsid w:val="50E914D0"/>
    <w:rsid w:val="51C6BB31"/>
    <w:rsid w:val="53D53E07"/>
    <w:rsid w:val="53DDA95D"/>
    <w:rsid w:val="5400E0B2"/>
    <w:rsid w:val="5579457D"/>
    <w:rsid w:val="5872B582"/>
    <w:rsid w:val="59318778"/>
    <w:rsid w:val="59320AA7"/>
    <w:rsid w:val="599BD9E3"/>
    <w:rsid w:val="5A502044"/>
    <w:rsid w:val="5AF16C08"/>
    <w:rsid w:val="5C9535FE"/>
    <w:rsid w:val="5CA0E7A0"/>
    <w:rsid w:val="5DBF38C6"/>
    <w:rsid w:val="5DDF39AD"/>
    <w:rsid w:val="5E37C2E9"/>
    <w:rsid w:val="604375EF"/>
    <w:rsid w:val="610868C4"/>
    <w:rsid w:val="61335884"/>
    <w:rsid w:val="63166223"/>
    <w:rsid w:val="634EBBA0"/>
    <w:rsid w:val="63B6D07A"/>
    <w:rsid w:val="64CA2B90"/>
    <w:rsid w:val="64E22C2C"/>
    <w:rsid w:val="66B448B4"/>
    <w:rsid w:val="66CFFE8D"/>
    <w:rsid w:val="6725DFA9"/>
    <w:rsid w:val="6750C0B5"/>
    <w:rsid w:val="67CB1F3B"/>
    <w:rsid w:val="684F60C0"/>
    <w:rsid w:val="6D35F0B6"/>
    <w:rsid w:val="6EB0F282"/>
    <w:rsid w:val="6F35CFBC"/>
    <w:rsid w:val="6F865B48"/>
    <w:rsid w:val="6FC91189"/>
    <w:rsid w:val="70F73E21"/>
    <w:rsid w:val="71F8DB51"/>
    <w:rsid w:val="723AE386"/>
    <w:rsid w:val="73CAA3E7"/>
    <w:rsid w:val="74B16839"/>
    <w:rsid w:val="768D9843"/>
    <w:rsid w:val="76DB6E53"/>
    <w:rsid w:val="7795F76A"/>
    <w:rsid w:val="7806646D"/>
    <w:rsid w:val="78572515"/>
    <w:rsid w:val="7A298C6A"/>
    <w:rsid w:val="7A7AD41A"/>
    <w:rsid w:val="7A83BA95"/>
    <w:rsid w:val="7D69E02E"/>
    <w:rsid w:val="7E6D8D13"/>
    <w:rsid w:val="7EC30595"/>
    <w:rsid w:val="7FBC928B"/>
    <w:rsid w:val="7FC1FE9E"/>
    <w:rsid w:val="7FC5FA6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5E7E2"/>
  <w15:chartTrackingRefBased/>
  <w15:docId w15:val="{B23A5B22-2D64-42A6-8823-6B29609D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392"/>
  </w:style>
  <w:style w:type="paragraph" w:styleId="Titre1">
    <w:name w:val="heading 1"/>
    <w:basedOn w:val="Normal"/>
    <w:next w:val="Normal"/>
    <w:link w:val="Titre1Car"/>
    <w:uiPriority w:val="9"/>
    <w:qFormat/>
    <w:rsid w:val="00486BD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486BD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486BD4"/>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486BD4"/>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486BD4"/>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486BD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86BD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86BD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86BD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6BD4"/>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486BD4"/>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486BD4"/>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486BD4"/>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486BD4"/>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486BD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86BD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86BD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86BD4"/>
    <w:rPr>
      <w:rFonts w:eastAsiaTheme="majorEastAsia" w:cstheme="majorBidi"/>
      <w:color w:val="272727" w:themeColor="text1" w:themeTint="D8"/>
    </w:rPr>
  </w:style>
  <w:style w:type="paragraph" w:styleId="Titre">
    <w:name w:val="Title"/>
    <w:basedOn w:val="Normal"/>
    <w:next w:val="Normal"/>
    <w:link w:val="TitreCar"/>
    <w:uiPriority w:val="10"/>
    <w:qFormat/>
    <w:rsid w:val="00486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86BD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86BD4"/>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86BD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86BD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86BD4"/>
    <w:rPr>
      <w:i/>
      <w:iCs/>
      <w:color w:val="404040" w:themeColor="text1" w:themeTint="BF"/>
    </w:rPr>
  </w:style>
  <w:style w:type="paragraph" w:styleId="Paragraphedeliste">
    <w:name w:val="List Paragraph"/>
    <w:basedOn w:val="Normal"/>
    <w:uiPriority w:val="34"/>
    <w:qFormat/>
    <w:rsid w:val="00486BD4"/>
    <w:pPr>
      <w:ind w:left="720"/>
      <w:contextualSpacing/>
    </w:pPr>
  </w:style>
  <w:style w:type="character" w:styleId="Accentuationintense">
    <w:name w:val="Intense Emphasis"/>
    <w:basedOn w:val="Policepardfaut"/>
    <w:uiPriority w:val="21"/>
    <w:qFormat/>
    <w:rsid w:val="00486BD4"/>
    <w:rPr>
      <w:i/>
      <w:iCs/>
      <w:color w:val="365F91" w:themeColor="accent1" w:themeShade="BF"/>
    </w:rPr>
  </w:style>
  <w:style w:type="paragraph" w:styleId="Citationintense">
    <w:name w:val="Intense Quote"/>
    <w:basedOn w:val="Normal"/>
    <w:next w:val="Normal"/>
    <w:link w:val="CitationintenseCar"/>
    <w:uiPriority w:val="30"/>
    <w:qFormat/>
    <w:rsid w:val="00486BD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486BD4"/>
    <w:rPr>
      <w:i/>
      <w:iCs/>
      <w:color w:val="365F91" w:themeColor="accent1" w:themeShade="BF"/>
    </w:rPr>
  </w:style>
  <w:style w:type="character" w:styleId="Rfrenceintense">
    <w:name w:val="Intense Reference"/>
    <w:basedOn w:val="Policepardfaut"/>
    <w:uiPriority w:val="32"/>
    <w:qFormat/>
    <w:rsid w:val="00486BD4"/>
    <w:rPr>
      <w:b/>
      <w:bCs/>
      <w:smallCaps/>
      <w:color w:val="365F91" w:themeColor="accent1" w:themeShade="BF"/>
      <w:spacing w:val="5"/>
    </w:rPr>
  </w:style>
  <w:style w:type="paragraph" w:styleId="En-tte">
    <w:name w:val="header"/>
    <w:basedOn w:val="Normal"/>
    <w:link w:val="En-tteCar"/>
    <w:uiPriority w:val="99"/>
    <w:unhideWhenUsed/>
    <w:rsid w:val="006E4D8B"/>
    <w:pPr>
      <w:tabs>
        <w:tab w:val="center" w:pos="4536"/>
        <w:tab w:val="right" w:pos="9072"/>
      </w:tabs>
      <w:spacing w:after="0" w:line="240" w:lineRule="auto"/>
    </w:pPr>
  </w:style>
  <w:style w:type="character" w:customStyle="1" w:styleId="En-tteCar">
    <w:name w:val="En-tête Car"/>
    <w:basedOn w:val="Policepardfaut"/>
    <w:link w:val="En-tte"/>
    <w:uiPriority w:val="99"/>
    <w:rsid w:val="006E4D8B"/>
  </w:style>
  <w:style w:type="paragraph" w:styleId="Pieddepage">
    <w:name w:val="footer"/>
    <w:basedOn w:val="Normal"/>
    <w:link w:val="PieddepageCar"/>
    <w:uiPriority w:val="99"/>
    <w:unhideWhenUsed/>
    <w:rsid w:val="006E4D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4D8B"/>
  </w:style>
  <w:style w:type="paragraph" w:styleId="Notedebasdepage">
    <w:name w:val="footnote text"/>
    <w:basedOn w:val="Normal"/>
    <w:link w:val="NotedebasdepageCar"/>
    <w:uiPriority w:val="99"/>
    <w:semiHidden/>
    <w:unhideWhenUsed/>
    <w:rsid w:val="0083313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33134"/>
    <w:rPr>
      <w:sz w:val="20"/>
      <w:szCs w:val="20"/>
    </w:rPr>
  </w:style>
  <w:style w:type="character" w:styleId="Appelnotedebasdep">
    <w:name w:val="footnote reference"/>
    <w:basedOn w:val="Policepardfaut"/>
    <w:uiPriority w:val="99"/>
    <w:semiHidden/>
    <w:unhideWhenUsed/>
    <w:rsid w:val="00833134"/>
    <w:rPr>
      <w:vertAlign w:val="superscript"/>
    </w:rPr>
  </w:style>
  <w:style w:type="character" w:styleId="Lienhypertexte">
    <w:name w:val="Hyperlink"/>
    <w:basedOn w:val="Policepardfaut"/>
    <w:uiPriority w:val="99"/>
    <w:unhideWhenUsed/>
    <w:rsid w:val="00833134"/>
    <w:rPr>
      <w:color w:val="0000FF" w:themeColor="hyperlink"/>
      <w:u w:val="single"/>
    </w:rPr>
  </w:style>
  <w:style w:type="character" w:styleId="Mentionnonrsolue">
    <w:name w:val="Unresolved Mention"/>
    <w:basedOn w:val="Policepardfaut"/>
    <w:uiPriority w:val="99"/>
    <w:semiHidden/>
    <w:unhideWhenUsed/>
    <w:rsid w:val="00833134"/>
    <w:rPr>
      <w:color w:val="605E5C"/>
      <w:shd w:val="clear" w:color="auto" w:fill="E1DFDD"/>
    </w:rPr>
  </w:style>
  <w:style w:type="character" w:styleId="Marquedecommentaire">
    <w:name w:val="annotation reference"/>
    <w:basedOn w:val="Policepardfaut"/>
    <w:uiPriority w:val="99"/>
    <w:semiHidden/>
    <w:unhideWhenUsed/>
    <w:rsid w:val="0001655F"/>
    <w:rPr>
      <w:sz w:val="16"/>
      <w:szCs w:val="16"/>
    </w:rPr>
  </w:style>
  <w:style w:type="paragraph" w:styleId="Commentaire">
    <w:name w:val="annotation text"/>
    <w:basedOn w:val="Normal"/>
    <w:link w:val="CommentaireCar"/>
    <w:uiPriority w:val="99"/>
    <w:unhideWhenUsed/>
    <w:rsid w:val="0001655F"/>
    <w:pPr>
      <w:spacing w:line="240" w:lineRule="auto"/>
    </w:pPr>
    <w:rPr>
      <w:sz w:val="20"/>
      <w:szCs w:val="20"/>
    </w:rPr>
  </w:style>
  <w:style w:type="character" w:customStyle="1" w:styleId="CommentaireCar">
    <w:name w:val="Commentaire Car"/>
    <w:basedOn w:val="Policepardfaut"/>
    <w:link w:val="Commentaire"/>
    <w:uiPriority w:val="99"/>
    <w:rsid w:val="0001655F"/>
    <w:rPr>
      <w:sz w:val="20"/>
      <w:szCs w:val="20"/>
    </w:rPr>
  </w:style>
  <w:style w:type="paragraph" w:styleId="Objetducommentaire">
    <w:name w:val="annotation subject"/>
    <w:basedOn w:val="Commentaire"/>
    <w:next w:val="Commentaire"/>
    <w:link w:val="ObjetducommentaireCar"/>
    <w:uiPriority w:val="99"/>
    <w:semiHidden/>
    <w:unhideWhenUsed/>
    <w:rsid w:val="0001655F"/>
    <w:rPr>
      <w:b/>
      <w:bCs/>
    </w:rPr>
  </w:style>
  <w:style w:type="character" w:customStyle="1" w:styleId="ObjetducommentaireCar">
    <w:name w:val="Objet du commentaire Car"/>
    <w:basedOn w:val="CommentaireCar"/>
    <w:link w:val="Objetducommentaire"/>
    <w:uiPriority w:val="99"/>
    <w:semiHidden/>
    <w:rsid w:val="000165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FR/TXT/?uri=CELEX:32006L0123" TargetMode="External"/><Relationship Id="rId1" Type="http://schemas.openxmlformats.org/officeDocument/2006/relationships/hyperlink" Target="https://geoportail.wallonie.be/catalogue/aa59b680-4784-4c27-b90c-963568f945e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40600-0DCE-4615-BCA1-A282AC9DF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1571</Words>
  <Characters>8641</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LANNOY Marc</dc:creator>
  <cp:keywords/>
  <dc:description/>
  <cp:lastModifiedBy>NERI Pierre</cp:lastModifiedBy>
  <cp:revision>66</cp:revision>
  <dcterms:created xsi:type="dcterms:W3CDTF">2025-01-23T14:22:00Z</dcterms:created>
  <dcterms:modified xsi:type="dcterms:W3CDTF">2025-04-15T09:28:00Z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2025-01-23T14:22:54Z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16430e32-acd7-4bbd-b85c-30c07f97a160</vt:lpwstr>
  </property>
  <property fmtid="{D5CDD505-2E9C-101B-9397-08002B2CF9AE}" pid="8" name="MSIP_Label_97a477d1-147d-4e34-b5e3-7b26d2f44870_ContentBits">
    <vt:lpwstr>0</vt:lpwstr>
  </property>
</Properties>
</file>