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DC77A" w14:textId="77777777" w:rsidR="000416E6" w:rsidRDefault="000416E6" w:rsidP="000416E6">
      <w:pPr>
        <w:jc w:val="left"/>
        <w:rPr>
          <w:rFonts w:ascii="Tahoma" w:hAnsi="Tahoma" w:cs="Tahoma"/>
          <w:lang w:val="fr-FR"/>
        </w:rPr>
      </w:pPr>
    </w:p>
    <w:p w14:paraId="0FBA58EF" w14:textId="77777777" w:rsidR="000416E6" w:rsidRPr="00094AAC" w:rsidRDefault="000416E6" w:rsidP="000416E6">
      <w:pPr>
        <w:spacing w:line="240" w:lineRule="auto"/>
        <w:ind w:right="-1"/>
        <w:jc w:val="right"/>
        <w:rPr>
          <w:rFonts w:ascii="Tahoma" w:hAnsi="Tahoma" w:cs="Tahoma"/>
          <w:b/>
          <w:lang w:val="fr-FR"/>
        </w:rPr>
      </w:pPr>
      <w:r w:rsidRPr="00094AAC">
        <w:rPr>
          <w:rFonts w:ascii="Tahoma" w:hAnsi="Tahoma" w:cs="Tahoma"/>
          <w:b/>
          <w:lang w:val="fr-FR"/>
        </w:rPr>
        <w:t>Annexe 1</w:t>
      </w:r>
    </w:p>
    <w:p w14:paraId="7AF2727B" w14:textId="77777777" w:rsidR="000416E6" w:rsidRPr="00094AAC" w:rsidRDefault="000416E6" w:rsidP="000416E6">
      <w:pPr>
        <w:spacing w:line="240" w:lineRule="auto"/>
        <w:jc w:val="left"/>
        <w:rPr>
          <w:rFonts w:ascii="Tahoma" w:hAnsi="Tahoma" w:cs="Tahoma"/>
          <w:b/>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416E6" w:rsidRPr="00094AAC" w14:paraId="3467CEBB" w14:textId="77777777" w:rsidTr="00A6233F">
        <w:trPr>
          <w:trHeight w:val="1148"/>
          <w:jc w:val="center"/>
        </w:trPr>
        <w:tc>
          <w:tcPr>
            <w:tcW w:w="10458" w:type="dxa"/>
            <w:shd w:val="clear" w:color="auto" w:fill="auto"/>
            <w:vAlign w:val="center"/>
          </w:tcPr>
          <w:p w14:paraId="421ED896" w14:textId="77777777" w:rsidR="000416E6" w:rsidRPr="00094AAC" w:rsidRDefault="000416E6" w:rsidP="00A6233F">
            <w:pPr>
              <w:spacing w:line="240" w:lineRule="auto"/>
              <w:jc w:val="center"/>
              <w:rPr>
                <w:rFonts w:ascii="Tahoma" w:hAnsi="Tahoma" w:cs="Tahoma"/>
              </w:rPr>
            </w:pPr>
            <w:r w:rsidRPr="00094AAC">
              <w:rPr>
                <w:rFonts w:ascii="Tahoma" w:hAnsi="Tahoma" w:cs="Tahoma"/>
                <w:b/>
                <w:caps/>
              </w:rPr>
              <w:t>Principes relatifs aux depenses prises en charge au titre de justification de l’utilisation de la subvention</w:t>
            </w:r>
          </w:p>
        </w:tc>
      </w:tr>
    </w:tbl>
    <w:p w14:paraId="0D72A66A" w14:textId="77777777" w:rsidR="000416E6" w:rsidRPr="00094AAC" w:rsidRDefault="000416E6" w:rsidP="000416E6">
      <w:pPr>
        <w:spacing w:line="240" w:lineRule="auto"/>
        <w:rPr>
          <w:rFonts w:ascii="Tahoma" w:hAnsi="Tahoma" w:cs="Tahoma"/>
        </w:rPr>
      </w:pPr>
    </w:p>
    <w:p w14:paraId="0266F91E" w14:textId="77777777" w:rsidR="000416E6" w:rsidRPr="00094AAC" w:rsidRDefault="000416E6" w:rsidP="000416E6">
      <w:pPr>
        <w:spacing w:line="240" w:lineRule="auto"/>
        <w:rPr>
          <w:rFonts w:ascii="Tahoma" w:hAnsi="Tahoma" w:cs="Tahoma"/>
          <w:b/>
          <w:caps/>
          <w:u w:val="single"/>
        </w:rPr>
      </w:pPr>
      <w:r w:rsidRPr="00094AAC">
        <w:rPr>
          <w:rFonts w:ascii="Tahoma" w:hAnsi="Tahoma" w:cs="Tahoma"/>
          <w:b/>
          <w:caps/>
          <w:u w:val="single"/>
        </w:rPr>
        <w:t>Principes</w:t>
      </w:r>
    </w:p>
    <w:p w14:paraId="436FA7C0" w14:textId="77777777" w:rsidR="000416E6" w:rsidRPr="00094AAC" w:rsidRDefault="000416E6" w:rsidP="000416E6">
      <w:pPr>
        <w:spacing w:line="240" w:lineRule="auto"/>
        <w:rPr>
          <w:rFonts w:ascii="Tahoma" w:hAnsi="Tahoma" w:cs="Tahoma"/>
        </w:rPr>
      </w:pPr>
    </w:p>
    <w:p w14:paraId="2D833EE7" w14:textId="77777777" w:rsidR="000416E6" w:rsidRPr="00094AAC" w:rsidRDefault="000416E6" w:rsidP="000416E6">
      <w:pPr>
        <w:spacing w:line="240" w:lineRule="auto"/>
        <w:rPr>
          <w:rFonts w:ascii="Tahoma" w:hAnsi="Tahoma" w:cs="Tahoma"/>
        </w:rPr>
      </w:pPr>
      <w:r w:rsidRPr="00094AAC">
        <w:rPr>
          <w:rFonts w:ascii="Tahoma" w:hAnsi="Tahoma" w:cs="Tahoma"/>
        </w:rPr>
        <w:t>Toute subvention est exclusivement destinée à couvrir les dépenses nécessaires à la réalisation de l’action pour laquelle elle est octroyée.</w:t>
      </w:r>
    </w:p>
    <w:p w14:paraId="1F10FFB5" w14:textId="77777777" w:rsidR="000416E6" w:rsidRPr="00094AAC" w:rsidRDefault="000416E6" w:rsidP="000416E6">
      <w:pPr>
        <w:spacing w:line="240" w:lineRule="auto"/>
        <w:rPr>
          <w:rFonts w:ascii="Tahoma" w:hAnsi="Tahoma" w:cs="Tahoma"/>
        </w:rPr>
      </w:pPr>
    </w:p>
    <w:p w14:paraId="6A2E89C9" w14:textId="4D112B3A" w:rsidR="000416E6" w:rsidRPr="00094AAC" w:rsidRDefault="000416E6" w:rsidP="000416E6">
      <w:pPr>
        <w:spacing w:line="240" w:lineRule="auto"/>
        <w:rPr>
          <w:rFonts w:ascii="Tahoma" w:hAnsi="Tahoma" w:cs="Tahoma"/>
        </w:rPr>
      </w:pPr>
      <w:r w:rsidRPr="00094AAC">
        <w:rPr>
          <w:rFonts w:ascii="Tahoma" w:hAnsi="Tahoma" w:cs="Tahoma"/>
        </w:rPr>
        <w:t>Dans le cas où des dépenses se rapportent à plusieurs projets bénéficiant de financements distincts, une clé de répartition est appliquée. Celle-ci répond à des critères objectifs, réalistes, concrets et dûment justifiés, en ce compris sur base de « timesheets ». L’administration dont relève l’octroi et la vérification de la subvention est informée de cette clé de répartition et, le cas échéant, peut en appliquer une autre jugée plus adéquate.</w:t>
      </w:r>
    </w:p>
    <w:p w14:paraId="1668C55B" w14:textId="77777777" w:rsidR="000416E6" w:rsidRPr="00094AAC" w:rsidRDefault="000416E6" w:rsidP="000416E6">
      <w:pPr>
        <w:spacing w:line="240" w:lineRule="auto"/>
        <w:rPr>
          <w:rFonts w:ascii="Tahoma" w:hAnsi="Tahoma" w:cs="Tahoma"/>
        </w:rPr>
      </w:pPr>
    </w:p>
    <w:p w14:paraId="4C67E5A9" w14:textId="6712E968" w:rsidR="000416E6" w:rsidRPr="00094AAC" w:rsidRDefault="000416E6" w:rsidP="7B5076C0">
      <w:pPr>
        <w:spacing w:line="240" w:lineRule="auto"/>
        <w:rPr>
          <w:rFonts w:ascii="Tahoma" w:hAnsi="Tahoma" w:cs="Tahoma"/>
          <w:b/>
          <w:u w:val="single"/>
        </w:rPr>
      </w:pPr>
      <w:r w:rsidRPr="00094AAC">
        <w:rPr>
          <w:rFonts w:ascii="Tahoma" w:hAnsi="Tahoma" w:cs="Tahoma"/>
          <w:b/>
          <w:u w:val="single"/>
        </w:rPr>
        <w:t>RAPPEL – MARCHES PUBLICS</w:t>
      </w:r>
    </w:p>
    <w:p w14:paraId="48E267AD" w14:textId="77777777" w:rsidR="000416E6" w:rsidRPr="00094AAC" w:rsidRDefault="000416E6" w:rsidP="000416E6">
      <w:pPr>
        <w:spacing w:line="240" w:lineRule="auto"/>
        <w:rPr>
          <w:rFonts w:ascii="Tahoma" w:hAnsi="Tahoma" w:cs="Tahoma"/>
        </w:rPr>
      </w:pPr>
    </w:p>
    <w:p w14:paraId="30B0252D" w14:textId="77777777" w:rsidR="000416E6" w:rsidRPr="00806242" w:rsidRDefault="000416E6" w:rsidP="000416E6">
      <w:pPr>
        <w:spacing w:line="240" w:lineRule="auto"/>
        <w:rPr>
          <w:rFonts w:ascii="Tahoma" w:hAnsi="Tahoma" w:cs="Tahoma"/>
        </w:rPr>
      </w:pPr>
      <w:r w:rsidRPr="539415BF">
        <w:rPr>
          <w:rFonts w:ascii="Tahoma" w:hAnsi="Tahoma" w:cs="Tahoma"/>
        </w:rPr>
        <w:t xml:space="preserve">Un marché public est un contrat à titre onéreux conclu entre un ou plusieurs opérateurs économiques, privés ou publics et un ou plusieurs pouvoirs adjudicateurs et portant sur </w:t>
      </w:r>
      <w:r w:rsidRPr="00806242">
        <w:rPr>
          <w:rFonts w:ascii="Tahoma" w:hAnsi="Tahoma" w:cs="Tahoma"/>
        </w:rPr>
        <w:t>l’exécution de travaux, la fourniture de produits ou la prestation de services.</w:t>
      </w:r>
    </w:p>
    <w:p w14:paraId="5F731166" w14:textId="77777777" w:rsidR="00E82C2F" w:rsidRPr="00806242" w:rsidRDefault="00E82C2F" w:rsidP="000416E6">
      <w:pPr>
        <w:spacing w:line="240" w:lineRule="auto"/>
        <w:rPr>
          <w:rFonts w:ascii="Tahoma" w:hAnsi="Tahoma" w:cs="Tahoma"/>
        </w:rPr>
      </w:pPr>
    </w:p>
    <w:p w14:paraId="1E71D82E" w14:textId="7E7E4D24" w:rsidR="000416E6" w:rsidRPr="00806242" w:rsidRDefault="172F3F24" w:rsidP="539415BF">
      <w:pPr>
        <w:spacing w:line="240" w:lineRule="auto"/>
        <w:rPr>
          <w:rFonts w:ascii="Tahoma" w:hAnsi="Tahoma" w:cs="Tahoma"/>
        </w:rPr>
      </w:pPr>
      <w:r w:rsidRPr="00806242">
        <w:rPr>
          <w:rFonts w:ascii="Tahoma" w:hAnsi="Tahoma" w:cs="Tahoma"/>
        </w:rPr>
        <w:t xml:space="preserve">En tant que bénéficiaire, vous êtes tenu de </w:t>
      </w:r>
      <w:r w:rsidR="36456BE8" w:rsidRPr="00806242">
        <w:rPr>
          <w:rFonts w:ascii="Tahoma" w:hAnsi="Tahoma" w:cs="Tahoma"/>
        </w:rPr>
        <w:t>confirmer votre qualification en tant que pouvoir adjudicateur</w:t>
      </w:r>
      <w:r w:rsidR="5ECE5ACF" w:rsidRPr="00806242">
        <w:rPr>
          <w:rFonts w:ascii="Tahoma" w:hAnsi="Tahoma" w:cs="Tahoma"/>
        </w:rPr>
        <w:t xml:space="preserve"> à l’agent traitant votre dossier dans le mois de réception du courrier de notification</w:t>
      </w:r>
      <w:r w:rsidR="36456BE8" w:rsidRPr="00806242">
        <w:rPr>
          <w:rFonts w:ascii="Tahoma" w:hAnsi="Tahoma" w:cs="Tahoma"/>
        </w:rPr>
        <w:t>.</w:t>
      </w:r>
    </w:p>
    <w:p w14:paraId="4F9BFFB5" w14:textId="32653883" w:rsidR="000416E6" w:rsidRPr="00806242" w:rsidRDefault="000416E6" w:rsidP="539415BF">
      <w:pPr>
        <w:spacing w:line="240" w:lineRule="auto"/>
        <w:rPr>
          <w:rFonts w:ascii="Tahoma" w:hAnsi="Tahoma" w:cs="Tahoma"/>
        </w:rPr>
      </w:pPr>
    </w:p>
    <w:p w14:paraId="396C7375" w14:textId="558CDEBA" w:rsidR="000416E6" w:rsidRPr="00094AAC" w:rsidRDefault="000416E6" w:rsidP="000416E6">
      <w:pPr>
        <w:spacing w:line="240" w:lineRule="auto"/>
        <w:rPr>
          <w:rFonts w:ascii="Tahoma" w:hAnsi="Tahoma" w:cs="Tahoma"/>
        </w:rPr>
      </w:pPr>
      <w:r w:rsidRPr="00806242">
        <w:rPr>
          <w:rFonts w:ascii="Tahoma" w:hAnsi="Tahoma" w:cs="Tahoma"/>
        </w:rPr>
        <w:t>En cas de contrôle</w:t>
      </w:r>
      <w:r w:rsidRPr="00094AAC">
        <w:rPr>
          <w:rFonts w:ascii="Tahoma" w:hAnsi="Tahoma" w:cs="Tahoma"/>
        </w:rPr>
        <w:t>, l’administration dont relève l’octroi et la vérification de la subvention, peut vérifier ou faire vérifier le respect des règles applicables aux marchés publics et</w:t>
      </w:r>
      <w:r w:rsidR="08380CD5" w:rsidRPr="00094AAC">
        <w:rPr>
          <w:rFonts w:ascii="Tahoma" w:hAnsi="Tahoma" w:cs="Tahoma"/>
        </w:rPr>
        <w:t xml:space="preserve"> remettre en cause l’éligibilité de la dépense</w:t>
      </w:r>
      <w:r w:rsidRPr="00094AAC">
        <w:rPr>
          <w:rFonts w:ascii="Tahoma" w:hAnsi="Tahoma" w:cs="Tahoma"/>
        </w:rPr>
        <w:t>.</w:t>
      </w:r>
    </w:p>
    <w:p w14:paraId="1096108B" w14:textId="77777777" w:rsidR="000416E6" w:rsidRPr="00094AAC" w:rsidRDefault="000416E6" w:rsidP="000416E6">
      <w:pPr>
        <w:spacing w:line="240" w:lineRule="auto"/>
        <w:rPr>
          <w:rFonts w:ascii="Tahoma" w:hAnsi="Tahoma" w:cs="Tahoma"/>
          <w:b/>
          <w:caps/>
          <w:u w:val="single"/>
        </w:rPr>
      </w:pPr>
    </w:p>
    <w:p w14:paraId="68057172" w14:textId="77777777" w:rsidR="000416E6" w:rsidRPr="00094AAC" w:rsidRDefault="000416E6" w:rsidP="000416E6">
      <w:pPr>
        <w:spacing w:line="240" w:lineRule="auto"/>
        <w:rPr>
          <w:rFonts w:ascii="Tahoma" w:hAnsi="Tahoma" w:cs="Tahoma"/>
          <w:b/>
          <w:caps/>
          <w:u w:val="single"/>
        </w:rPr>
      </w:pPr>
      <w:r w:rsidRPr="00094AAC">
        <w:rPr>
          <w:rFonts w:ascii="Tahoma" w:hAnsi="Tahoma" w:cs="Tahoma"/>
          <w:b/>
          <w:caps/>
          <w:u w:val="single"/>
        </w:rPr>
        <w:t>Justification de l’utilisation de la subvention</w:t>
      </w:r>
    </w:p>
    <w:p w14:paraId="33DE1129" w14:textId="77777777" w:rsidR="000416E6" w:rsidRPr="00094AAC" w:rsidRDefault="000416E6" w:rsidP="000416E6">
      <w:pPr>
        <w:spacing w:line="240" w:lineRule="auto"/>
        <w:rPr>
          <w:rFonts w:ascii="Tahoma" w:hAnsi="Tahoma" w:cs="Tahoma"/>
        </w:rPr>
      </w:pPr>
    </w:p>
    <w:p w14:paraId="69451733" w14:textId="77777777" w:rsidR="000416E6" w:rsidRPr="00094AAC" w:rsidRDefault="000416E6" w:rsidP="000416E6">
      <w:pPr>
        <w:spacing w:line="240" w:lineRule="auto"/>
        <w:rPr>
          <w:rFonts w:ascii="Tahoma" w:hAnsi="Tahoma" w:cs="Tahoma"/>
        </w:rPr>
      </w:pPr>
      <w:r w:rsidRPr="00094AAC">
        <w:rPr>
          <w:rFonts w:ascii="Tahoma" w:hAnsi="Tahoma" w:cs="Tahoma"/>
        </w:rPr>
        <w:t>La partie de la subvention dont l’utilisation n’est pas justifiée est remboursée. Ceci implique que le montant liquidé d’une subvention n’est définitivement fixé et acquis au bénéficiaire qu’après vérification et validation des dépenses admissibles.</w:t>
      </w:r>
    </w:p>
    <w:p w14:paraId="1A980068" w14:textId="77777777" w:rsidR="000416E6" w:rsidRPr="00094AAC" w:rsidRDefault="000416E6" w:rsidP="000416E6">
      <w:pPr>
        <w:spacing w:line="240" w:lineRule="auto"/>
        <w:rPr>
          <w:rFonts w:ascii="Tahoma" w:hAnsi="Tahoma" w:cs="Tahoma"/>
        </w:rPr>
      </w:pPr>
    </w:p>
    <w:p w14:paraId="54545971" w14:textId="77777777" w:rsidR="000416E6" w:rsidRPr="00094AAC" w:rsidRDefault="000416E6" w:rsidP="000416E6">
      <w:pPr>
        <w:spacing w:line="240" w:lineRule="auto"/>
        <w:rPr>
          <w:rFonts w:ascii="Tahoma" w:hAnsi="Tahoma" w:cs="Tahoma"/>
        </w:rPr>
      </w:pPr>
      <w:r w:rsidRPr="00094AAC">
        <w:rPr>
          <w:rFonts w:ascii="Tahoma" w:hAnsi="Tahoma" w:cs="Tahoma"/>
        </w:rPr>
        <w:t>Dans cette perspective, il est recommandé aux bénéficiaires d’utiliser une comptabilité analytique séparée ou tout autre processus permettant d’identifier les coûts et les dépenses de l’action subventionnée.</w:t>
      </w:r>
    </w:p>
    <w:p w14:paraId="42F81EB7" w14:textId="77777777" w:rsidR="000416E6" w:rsidRPr="00094AAC" w:rsidRDefault="000416E6" w:rsidP="000416E6">
      <w:pPr>
        <w:spacing w:line="240" w:lineRule="auto"/>
        <w:jc w:val="left"/>
        <w:rPr>
          <w:rFonts w:ascii="Tahoma" w:hAnsi="Tahoma" w:cs="Tahoma"/>
        </w:rPr>
      </w:pPr>
    </w:p>
    <w:p w14:paraId="43BF2414" w14:textId="77777777" w:rsidR="000416E6" w:rsidRPr="00094AAC" w:rsidRDefault="000416E6" w:rsidP="000416E6">
      <w:pPr>
        <w:spacing w:line="240" w:lineRule="auto"/>
        <w:rPr>
          <w:rFonts w:ascii="Tahoma" w:hAnsi="Tahoma" w:cs="Tahoma"/>
          <w:b/>
          <w:caps/>
          <w:u w:val="single"/>
        </w:rPr>
      </w:pPr>
      <w:r w:rsidRPr="00094AAC">
        <w:rPr>
          <w:rFonts w:ascii="Tahoma" w:hAnsi="Tahoma" w:cs="Tahoma"/>
          <w:b/>
          <w:caps/>
          <w:u w:val="single"/>
        </w:rPr>
        <w:t>Contrôle</w:t>
      </w:r>
    </w:p>
    <w:p w14:paraId="16D7E5B1" w14:textId="77777777" w:rsidR="000416E6" w:rsidRPr="00094AAC" w:rsidRDefault="000416E6" w:rsidP="000416E6">
      <w:pPr>
        <w:spacing w:line="240" w:lineRule="auto"/>
        <w:rPr>
          <w:rFonts w:ascii="Tahoma" w:hAnsi="Tahoma" w:cs="Tahoma"/>
        </w:rPr>
      </w:pPr>
    </w:p>
    <w:p w14:paraId="73936348" w14:textId="77777777" w:rsidR="000416E6" w:rsidRPr="00094AAC" w:rsidRDefault="000416E6" w:rsidP="000416E6">
      <w:pPr>
        <w:spacing w:line="240" w:lineRule="auto"/>
        <w:rPr>
          <w:rFonts w:ascii="Tahoma" w:hAnsi="Tahoma" w:cs="Tahoma"/>
        </w:rPr>
      </w:pPr>
      <w:r w:rsidRPr="00094AAC">
        <w:rPr>
          <w:rFonts w:ascii="Tahoma" w:hAnsi="Tahoma" w:cs="Tahoma"/>
        </w:rPr>
        <w:t>Par le seul fait d’accepter la subvention, le bénéficiaire reconnaît au pouvoir subsidiant le droit de procéder au contrôle de l’utilisation des sommes perçues et des justifications qui en sont fournies.</w:t>
      </w:r>
    </w:p>
    <w:p w14:paraId="7854B2E5" w14:textId="77777777" w:rsidR="000416E6" w:rsidRPr="00094AAC" w:rsidRDefault="000416E6" w:rsidP="000416E6">
      <w:pPr>
        <w:spacing w:line="240" w:lineRule="auto"/>
        <w:jc w:val="left"/>
        <w:rPr>
          <w:rFonts w:ascii="Tahoma" w:hAnsi="Tahoma" w:cs="Tahoma"/>
        </w:rPr>
      </w:pPr>
    </w:p>
    <w:p w14:paraId="645FF134" w14:textId="77777777" w:rsidR="000416E6" w:rsidRPr="00094AAC" w:rsidRDefault="000416E6" w:rsidP="000416E6">
      <w:pPr>
        <w:spacing w:line="240" w:lineRule="auto"/>
        <w:rPr>
          <w:rFonts w:ascii="Tahoma" w:hAnsi="Tahoma" w:cs="Tahoma"/>
        </w:rPr>
      </w:pPr>
      <w:r w:rsidRPr="00094AAC">
        <w:rPr>
          <w:rFonts w:ascii="Tahoma" w:hAnsi="Tahoma" w:cs="Tahoma"/>
        </w:rPr>
        <w:t>Le bénéficiaire qui fait obstacle au contrôle rembourse immédiatement toutes les sommes reçues.</w:t>
      </w:r>
    </w:p>
    <w:p w14:paraId="4FB53507" w14:textId="77777777" w:rsidR="000416E6" w:rsidRPr="00094AAC" w:rsidRDefault="000416E6" w:rsidP="000416E6">
      <w:pPr>
        <w:spacing w:line="240" w:lineRule="auto"/>
        <w:rPr>
          <w:rFonts w:ascii="Tahoma" w:hAnsi="Tahoma" w:cs="Tahoma"/>
        </w:rPr>
      </w:pPr>
    </w:p>
    <w:p w14:paraId="75C01EEA" w14:textId="77777777" w:rsidR="000416E6" w:rsidRPr="00094AAC" w:rsidRDefault="000416E6" w:rsidP="000416E6">
      <w:pPr>
        <w:spacing w:line="240" w:lineRule="auto"/>
        <w:rPr>
          <w:rFonts w:ascii="Tahoma" w:hAnsi="Tahoma" w:cs="Tahoma"/>
        </w:rPr>
      </w:pPr>
      <w:r w:rsidRPr="00094AAC">
        <w:rPr>
          <w:rFonts w:ascii="Tahoma" w:hAnsi="Tahoma" w:cs="Tahoma"/>
        </w:rPr>
        <w:lastRenderedPageBreak/>
        <w:t>Afin de permettre le contrôle, les pièces justificatives conformes au droit comptable sont tenues à disposition de la Région wallonne sur simple demande et ce pendant 10 ans, à dater de la décision d’octroi.</w:t>
      </w:r>
    </w:p>
    <w:p w14:paraId="666EDAE3" w14:textId="77777777" w:rsidR="000416E6" w:rsidRPr="00094AAC" w:rsidRDefault="000416E6" w:rsidP="000416E6">
      <w:pPr>
        <w:spacing w:line="240" w:lineRule="auto"/>
        <w:rPr>
          <w:rFonts w:ascii="Tahoma" w:hAnsi="Tahoma" w:cs="Tahoma"/>
        </w:rPr>
      </w:pPr>
    </w:p>
    <w:p w14:paraId="45D01540" w14:textId="77777777" w:rsidR="000416E6" w:rsidRPr="00094AAC" w:rsidRDefault="000416E6" w:rsidP="000416E6">
      <w:pPr>
        <w:spacing w:line="240" w:lineRule="auto"/>
        <w:rPr>
          <w:rFonts w:ascii="Tahoma" w:hAnsi="Tahoma" w:cs="Tahoma"/>
        </w:rPr>
      </w:pPr>
      <w:r w:rsidRPr="00094AAC">
        <w:rPr>
          <w:rFonts w:ascii="Tahoma" w:hAnsi="Tahoma" w:cs="Tahoma"/>
        </w:rPr>
        <w:t>Même en cas de cessation des activités, le bénéficiaire veille à garantir la conservation des dites pièces pendant 10 ans.</w:t>
      </w:r>
    </w:p>
    <w:p w14:paraId="5ACC0979" w14:textId="77777777" w:rsidR="000416E6" w:rsidRPr="00094AAC" w:rsidRDefault="000416E6" w:rsidP="000416E6">
      <w:pPr>
        <w:spacing w:line="240" w:lineRule="auto"/>
        <w:rPr>
          <w:rFonts w:ascii="Tahoma" w:hAnsi="Tahoma" w:cs="Tahoma"/>
        </w:rPr>
      </w:pPr>
    </w:p>
    <w:p w14:paraId="60943CE6" w14:textId="77777777" w:rsidR="000416E6" w:rsidRPr="00094AAC" w:rsidRDefault="000416E6" w:rsidP="000416E6">
      <w:pPr>
        <w:spacing w:line="240" w:lineRule="auto"/>
        <w:rPr>
          <w:rFonts w:ascii="Tahoma" w:hAnsi="Tahoma" w:cs="Tahoma"/>
          <w:caps/>
          <w:u w:val="single"/>
        </w:rPr>
      </w:pPr>
      <w:r w:rsidRPr="00094AAC">
        <w:rPr>
          <w:rFonts w:ascii="Tahoma" w:hAnsi="Tahoma" w:cs="Tahoma"/>
          <w:b/>
          <w:caps/>
          <w:u w:val="single"/>
        </w:rPr>
        <w:t>Période</w:t>
      </w:r>
    </w:p>
    <w:p w14:paraId="31F12A82" w14:textId="77777777" w:rsidR="000416E6" w:rsidRPr="00094AAC" w:rsidRDefault="000416E6" w:rsidP="000416E6">
      <w:pPr>
        <w:spacing w:line="240" w:lineRule="auto"/>
        <w:rPr>
          <w:rFonts w:ascii="Tahoma" w:hAnsi="Tahoma" w:cs="Tahoma"/>
        </w:rPr>
      </w:pPr>
    </w:p>
    <w:p w14:paraId="0BF886BC" w14:textId="77777777" w:rsidR="000416E6" w:rsidRPr="00094AAC" w:rsidRDefault="000416E6" w:rsidP="000416E6">
      <w:pPr>
        <w:spacing w:line="240" w:lineRule="auto"/>
        <w:rPr>
          <w:rFonts w:ascii="Tahoma" w:hAnsi="Tahoma" w:cs="Tahoma"/>
        </w:rPr>
      </w:pPr>
      <w:r w:rsidRPr="00094AAC">
        <w:rPr>
          <w:rFonts w:ascii="Tahoma" w:hAnsi="Tahoma" w:cs="Tahoma"/>
        </w:rPr>
        <w:t>Les dépenses engagées et introduites comme justificatifs se rapportent à la période subventionnée.</w:t>
      </w:r>
    </w:p>
    <w:p w14:paraId="5855950A" w14:textId="77777777" w:rsidR="000416E6" w:rsidRPr="00094AAC" w:rsidRDefault="000416E6" w:rsidP="000416E6">
      <w:pPr>
        <w:spacing w:line="240" w:lineRule="auto"/>
        <w:rPr>
          <w:rFonts w:ascii="Tahoma" w:hAnsi="Tahoma" w:cs="Tahoma"/>
        </w:rPr>
      </w:pPr>
    </w:p>
    <w:p w14:paraId="66438A0E" w14:textId="77777777" w:rsidR="000416E6" w:rsidRPr="00094AAC" w:rsidRDefault="000416E6" w:rsidP="000416E6">
      <w:pPr>
        <w:spacing w:line="240" w:lineRule="auto"/>
        <w:rPr>
          <w:rFonts w:ascii="Tahoma" w:hAnsi="Tahoma" w:cs="Tahoma"/>
          <w:caps/>
          <w:u w:val="single"/>
        </w:rPr>
      </w:pPr>
      <w:r w:rsidRPr="00094AAC">
        <w:rPr>
          <w:rFonts w:ascii="Tahoma" w:hAnsi="Tahoma" w:cs="Tahoma"/>
          <w:b/>
          <w:caps/>
          <w:u w:val="single"/>
        </w:rPr>
        <w:t>Pièces justificatives</w:t>
      </w:r>
    </w:p>
    <w:p w14:paraId="48142ABB" w14:textId="77777777" w:rsidR="000416E6" w:rsidRPr="00094AAC" w:rsidRDefault="000416E6" w:rsidP="000416E6">
      <w:pPr>
        <w:spacing w:line="240" w:lineRule="auto"/>
        <w:rPr>
          <w:rFonts w:ascii="Tahoma" w:hAnsi="Tahoma" w:cs="Tahoma"/>
        </w:rPr>
      </w:pPr>
    </w:p>
    <w:p w14:paraId="48B81423" w14:textId="77777777" w:rsidR="000416E6" w:rsidRPr="00094AAC" w:rsidRDefault="000416E6" w:rsidP="000416E6">
      <w:pPr>
        <w:spacing w:line="240" w:lineRule="auto"/>
        <w:rPr>
          <w:rFonts w:ascii="Tahoma" w:hAnsi="Tahoma" w:cs="Tahoma"/>
        </w:rPr>
      </w:pPr>
      <w:r w:rsidRPr="00094AAC">
        <w:rPr>
          <w:rFonts w:ascii="Tahoma" w:hAnsi="Tahoma" w:cs="Tahoma"/>
        </w:rPr>
        <w:t xml:space="preserve">Sauf lorsqu’il y a application d’un forfait, chaque dépense est justifiée par </w:t>
      </w:r>
      <w:r w:rsidRPr="00094AAC">
        <w:rPr>
          <w:rFonts w:ascii="Tahoma" w:hAnsi="Tahoma" w:cs="Tahoma"/>
          <w:u w:val="single"/>
        </w:rPr>
        <w:t>une pièce</w:t>
      </w:r>
      <w:r w:rsidRPr="00094AAC">
        <w:rPr>
          <w:rFonts w:ascii="Tahoma" w:hAnsi="Tahoma" w:cs="Tahoma"/>
        </w:rPr>
        <w:t xml:space="preserve"> telle qu’une facture, une note d'honoraires, un ticket de caisse, un contrat ou tout document pertinent.</w:t>
      </w:r>
    </w:p>
    <w:p w14:paraId="58E95223" w14:textId="77777777" w:rsidR="000416E6" w:rsidRPr="00094AAC" w:rsidRDefault="000416E6" w:rsidP="000416E6">
      <w:pPr>
        <w:spacing w:line="240" w:lineRule="auto"/>
        <w:rPr>
          <w:rFonts w:ascii="Tahoma" w:hAnsi="Tahoma" w:cs="Tahoma"/>
        </w:rPr>
      </w:pPr>
    </w:p>
    <w:p w14:paraId="0A00F73D" w14:textId="77777777" w:rsidR="000416E6" w:rsidRPr="00094AAC" w:rsidRDefault="000416E6" w:rsidP="000416E6">
      <w:pPr>
        <w:spacing w:line="240" w:lineRule="auto"/>
        <w:rPr>
          <w:rFonts w:ascii="Tahoma" w:hAnsi="Tahoma" w:cs="Tahoma"/>
        </w:rPr>
      </w:pPr>
      <w:r w:rsidRPr="00094AAC">
        <w:rPr>
          <w:rFonts w:ascii="Tahoma" w:hAnsi="Tahoma" w:cs="Tahoma"/>
        </w:rPr>
        <w:t>La copie de la pièce est lisible entièrement, de sorte qu'apparaissent les éléments suivants :</w:t>
      </w:r>
    </w:p>
    <w:p w14:paraId="62198F90" w14:textId="77777777" w:rsidR="000416E6" w:rsidRPr="00094AAC" w:rsidRDefault="000416E6" w:rsidP="000416E6">
      <w:pPr>
        <w:spacing w:line="240" w:lineRule="auto"/>
        <w:ind w:left="360"/>
        <w:rPr>
          <w:rFonts w:ascii="Tahoma" w:hAnsi="Tahoma" w:cs="Tahoma"/>
        </w:rPr>
      </w:pPr>
      <w:r w:rsidRPr="00094AAC">
        <w:rPr>
          <w:rFonts w:ascii="Tahoma" w:hAnsi="Tahoma" w:cs="Tahoma"/>
        </w:rPr>
        <w:t>1° la date ;</w:t>
      </w:r>
    </w:p>
    <w:p w14:paraId="09A56E31" w14:textId="77777777" w:rsidR="000416E6" w:rsidRPr="00094AAC" w:rsidRDefault="000416E6" w:rsidP="000416E6">
      <w:pPr>
        <w:spacing w:line="240" w:lineRule="auto"/>
        <w:ind w:left="360"/>
        <w:rPr>
          <w:rFonts w:ascii="Tahoma" w:hAnsi="Tahoma" w:cs="Tahoma"/>
        </w:rPr>
      </w:pPr>
      <w:r w:rsidRPr="00094AAC">
        <w:rPr>
          <w:rFonts w:ascii="Tahoma" w:hAnsi="Tahoma" w:cs="Tahoma"/>
        </w:rPr>
        <w:t>2° le numéro de la facture ;</w:t>
      </w:r>
    </w:p>
    <w:p w14:paraId="2A811057" w14:textId="31080DA4" w:rsidR="000416E6" w:rsidRPr="00094AAC" w:rsidRDefault="000416E6" w:rsidP="000416E6">
      <w:pPr>
        <w:spacing w:line="240" w:lineRule="auto"/>
        <w:ind w:left="360"/>
        <w:rPr>
          <w:rFonts w:ascii="Tahoma" w:hAnsi="Tahoma" w:cs="Tahoma"/>
        </w:rPr>
      </w:pPr>
      <w:r w:rsidRPr="094B93F4">
        <w:rPr>
          <w:rFonts w:ascii="Tahoma" w:hAnsi="Tahoma" w:cs="Tahoma"/>
        </w:rPr>
        <w:t>3° les coordonnées du fournisseur ou prestataire ;</w:t>
      </w:r>
    </w:p>
    <w:p w14:paraId="345C9879" w14:textId="77777777" w:rsidR="000416E6" w:rsidRPr="00094AAC" w:rsidRDefault="000416E6" w:rsidP="000416E6">
      <w:pPr>
        <w:spacing w:line="240" w:lineRule="auto"/>
        <w:ind w:left="360"/>
        <w:rPr>
          <w:rFonts w:ascii="Tahoma" w:hAnsi="Tahoma" w:cs="Tahoma"/>
        </w:rPr>
      </w:pPr>
      <w:r w:rsidRPr="00094AAC">
        <w:rPr>
          <w:rFonts w:ascii="Tahoma" w:hAnsi="Tahoma" w:cs="Tahoma"/>
        </w:rPr>
        <w:t>4° l'objet et le montant de la facture, de la prestation.</w:t>
      </w:r>
    </w:p>
    <w:p w14:paraId="5F521CA4" w14:textId="77777777" w:rsidR="000416E6" w:rsidRPr="00094AAC" w:rsidRDefault="000416E6" w:rsidP="000416E6">
      <w:pPr>
        <w:spacing w:line="240" w:lineRule="auto"/>
        <w:rPr>
          <w:rFonts w:ascii="Tahoma" w:hAnsi="Tahoma" w:cs="Tahoma"/>
        </w:rPr>
      </w:pPr>
    </w:p>
    <w:p w14:paraId="6C21B2BE" w14:textId="03AB3496" w:rsidR="000416E6" w:rsidRPr="00094AAC" w:rsidRDefault="000416E6" w:rsidP="000416E6">
      <w:pPr>
        <w:spacing w:line="240" w:lineRule="auto"/>
        <w:rPr>
          <w:rFonts w:ascii="Tahoma" w:hAnsi="Tahoma" w:cs="Tahoma"/>
        </w:rPr>
      </w:pPr>
      <w:r w:rsidRPr="6498BA2F">
        <w:rPr>
          <w:rFonts w:ascii="Tahoma" w:hAnsi="Tahoma" w:cs="Tahoma"/>
        </w:rPr>
        <w:t xml:space="preserve">Les pièces numérotées sont relevées dans un </w:t>
      </w:r>
      <w:r w:rsidR="00C12389" w:rsidRPr="00C12389">
        <w:rPr>
          <w:rFonts w:ascii="Tahoma" w:hAnsi="Tahoma" w:cs="Tahoma"/>
          <w:i/>
          <w:iCs/>
        </w:rPr>
        <w:t>Tableau récapitulatif des dépenses</w:t>
      </w:r>
      <w:r w:rsidRPr="6498BA2F">
        <w:rPr>
          <w:rFonts w:ascii="Tahoma" w:hAnsi="Tahoma" w:cs="Tahoma"/>
        </w:rPr>
        <w:t>, dont le modèle est établi par l’administration.</w:t>
      </w:r>
    </w:p>
    <w:p w14:paraId="63D303D4" w14:textId="77777777" w:rsidR="000416E6" w:rsidRPr="00094AAC" w:rsidRDefault="000416E6" w:rsidP="000416E6">
      <w:pPr>
        <w:spacing w:line="240" w:lineRule="auto"/>
        <w:rPr>
          <w:rFonts w:ascii="Tahoma" w:hAnsi="Tahoma" w:cs="Tahoma"/>
        </w:rPr>
      </w:pPr>
    </w:p>
    <w:p w14:paraId="3146CFEE" w14:textId="77777777" w:rsidR="000416E6" w:rsidRPr="00094AAC" w:rsidRDefault="000416E6" w:rsidP="000416E6">
      <w:pPr>
        <w:spacing w:line="240" w:lineRule="auto"/>
        <w:rPr>
          <w:rFonts w:ascii="Tahoma" w:hAnsi="Tahoma" w:cs="Tahoma"/>
        </w:rPr>
      </w:pPr>
      <w:r w:rsidRPr="3DD40C86">
        <w:rPr>
          <w:rFonts w:ascii="Tahoma" w:hAnsi="Tahoma" w:cs="Tahoma"/>
        </w:rPr>
        <w:t>Ce tableau, accompagné des pièces requises, fait l’objet d’un envoi aux destinataires identifiés dans l’arrêté de subvention.</w:t>
      </w:r>
    </w:p>
    <w:p w14:paraId="04A3B73B" w14:textId="7ACC6233" w:rsidR="000416E6" w:rsidRPr="00094AAC" w:rsidRDefault="000416E6" w:rsidP="000416E6">
      <w:pPr>
        <w:spacing w:after="160" w:line="259" w:lineRule="auto"/>
        <w:jc w:val="left"/>
        <w:rPr>
          <w:rFonts w:ascii="Tahoma" w:hAnsi="Tahoma" w:cs="Tahoma"/>
        </w:rPr>
      </w:pPr>
    </w:p>
    <w:p w14:paraId="17B8F6C7" w14:textId="77777777" w:rsidR="000416E6" w:rsidRPr="00094AAC" w:rsidRDefault="000416E6" w:rsidP="000416E6">
      <w:pPr>
        <w:spacing w:line="240" w:lineRule="auto"/>
        <w:rPr>
          <w:rFonts w:ascii="Tahoma" w:hAnsi="Tahoma" w:cs="Tahoma"/>
          <w:caps/>
          <w:u w:val="single"/>
        </w:rPr>
      </w:pPr>
      <w:r w:rsidRPr="7F1358AB">
        <w:rPr>
          <w:rFonts w:ascii="Tahoma" w:hAnsi="Tahoma" w:cs="Tahoma"/>
          <w:b/>
          <w:bCs/>
          <w:caps/>
          <w:u w:val="single"/>
        </w:rPr>
        <w:t>AUTRES Sources de financement</w:t>
      </w:r>
    </w:p>
    <w:p w14:paraId="2DDFE771" w14:textId="77777777" w:rsidR="000416E6" w:rsidRPr="00094AAC" w:rsidRDefault="000416E6" w:rsidP="000416E6">
      <w:pPr>
        <w:spacing w:line="240" w:lineRule="auto"/>
        <w:rPr>
          <w:rFonts w:ascii="Tahoma" w:hAnsi="Tahoma" w:cs="Tahoma"/>
        </w:rPr>
      </w:pPr>
    </w:p>
    <w:p w14:paraId="01BEA7E8" w14:textId="65C7D1F4" w:rsidR="000416E6" w:rsidRPr="00094AAC" w:rsidRDefault="000416E6" w:rsidP="000416E6">
      <w:pPr>
        <w:spacing w:line="240" w:lineRule="auto"/>
        <w:rPr>
          <w:rFonts w:ascii="Tahoma" w:hAnsi="Tahoma" w:cs="Tahoma"/>
        </w:rPr>
      </w:pPr>
      <w:r w:rsidRPr="094B93F4">
        <w:rPr>
          <w:rFonts w:ascii="Tahoma" w:hAnsi="Tahoma" w:cs="Tahoma"/>
        </w:rPr>
        <w:t xml:space="preserve">Dans la mesure où le projet </w:t>
      </w:r>
      <w:r w:rsidR="015D33D1" w:rsidRPr="094B93F4">
        <w:rPr>
          <w:rFonts w:ascii="Tahoma" w:hAnsi="Tahoma" w:cs="Tahoma"/>
        </w:rPr>
        <w:t xml:space="preserve">subventionné </w:t>
      </w:r>
      <w:r w:rsidRPr="094B93F4">
        <w:rPr>
          <w:rFonts w:ascii="Tahoma" w:hAnsi="Tahoma" w:cs="Tahoma"/>
        </w:rPr>
        <w:t xml:space="preserve">bénéficie d'autres sources de financement, il y a lieu de les spécifier clairement dans le </w:t>
      </w:r>
      <w:r w:rsidR="00C12389" w:rsidRPr="00C12389">
        <w:rPr>
          <w:rFonts w:ascii="Tahoma" w:hAnsi="Tahoma" w:cs="Tahoma"/>
          <w:i/>
          <w:iCs/>
        </w:rPr>
        <w:t>Tableau récapitulatif des dépenses</w:t>
      </w:r>
      <w:r w:rsidR="00C12389" w:rsidRPr="094B93F4" w:rsidDel="00C12389">
        <w:rPr>
          <w:rFonts w:ascii="Tahoma" w:hAnsi="Tahoma" w:cs="Tahoma"/>
        </w:rPr>
        <w:t xml:space="preserve"> </w:t>
      </w:r>
      <w:r w:rsidRPr="094B93F4">
        <w:rPr>
          <w:rFonts w:ascii="Tahoma" w:hAnsi="Tahoma" w:cs="Tahoma"/>
        </w:rPr>
        <w:t>accompagnant la déclaration de créance, en précisant et justifiant la clé de répartition.</w:t>
      </w:r>
    </w:p>
    <w:p w14:paraId="0A3C1832" w14:textId="77777777" w:rsidR="000416E6" w:rsidRPr="00094AAC" w:rsidRDefault="000416E6" w:rsidP="000416E6">
      <w:pPr>
        <w:spacing w:line="240" w:lineRule="auto"/>
        <w:rPr>
          <w:rFonts w:ascii="Tahoma" w:hAnsi="Tahoma" w:cs="Tahoma"/>
        </w:rPr>
      </w:pPr>
    </w:p>
    <w:p w14:paraId="3E78F063" w14:textId="77777777" w:rsidR="000416E6" w:rsidRPr="00094AAC" w:rsidRDefault="000416E6" w:rsidP="000416E6">
      <w:pPr>
        <w:spacing w:line="240" w:lineRule="auto"/>
        <w:rPr>
          <w:rFonts w:ascii="Tahoma" w:hAnsi="Tahoma" w:cs="Tahoma"/>
          <w:caps/>
          <w:u w:val="single"/>
        </w:rPr>
      </w:pPr>
      <w:r w:rsidRPr="094B93F4">
        <w:rPr>
          <w:rFonts w:ascii="Tahoma" w:hAnsi="Tahoma" w:cs="Tahoma"/>
          <w:b/>
          <w:bCs/>
          <w:caps/>
          <w:u w:val="single"/>
        </w:rPr>
        <w:t xml:space="preserve">TRAITEMENT DES RECETTES </w:t>
      </w:r>
    </w:p>
    <w:p w14:paraId="40AAD59B" w14:textId="77777777" w:rsidR="000416E6" w:rsidRPr="00094AAC" w:rsidRDefault="000416E6" w:rsidP="000416E6">
      <w:pPr>
        <w:spacing w:line="240" w:lineRule="auto"/>
        <w:rPr>
          <w:rFonts w:ascii="Tahoma" w:hAnsi="Tahoma" w:cs="Tahoma"/>
        </w:rPr>
      </w:pPr>
    </w:p>
    <w:p w14:paraId="74D16915" w14:textId="596E176F" w:rsidR="000416E6" w:rsidRPr="00094AAC" w:rsidRDefault="16B74657" w:rsidP="000416E6">
      <w:pPr>
        <w:spacing w:line="240" w:lineRule="auto"/>
        <w:rPr>
          <w:rFonts w:ascii="Tahoma" w:hAnsi="Tahoma" w:cs="Tahoma"/>
        </w:rPr>
      </w:pPr>
      <w:r w:rsidRPr="539415BF">
        <w:rPr>
          <w:rFonts w:ascii="Tahoma" w:hAnsi="Tahoma" w:cs="Tahoma"/>
        </w:rPr>
        <w:t xml:space="preserve">Dans la mesure où le projet génère des recettes, il y a lieu de les spécifier clairement dans le </w:t>
      </w:r>
      <w:r w:rsidR="00C12389" w:rsidRPr="539415BF">
        <w:rPr>
          <w:rFonts w:ascii="Tahoma" w:hAnsi="Tahoma" w:cs="Tahoma"/>
          <w:i/>
          <w:iCs/>
        </w:rPr>
        <w:t>Tableau récapitulatif des dépenses</w:t>
      </w:r>
      <w:r w:rsidRPr="539415BF">
        <w:rPr>
          <w:rFonts w:ascii="Tahoma" w:hAnsi="Tahoma" w:cs="Tahoma"/>
        </w:rPr>
        <w:t xml:space="preserve">. Ces recettes sont déduites des dépenses présentées par le </w:t>
      </w:r>
      <w:r w:rsidRPr="00806242">
        <w:rPr>
          <w:rFonts w:ascii="Tahoma" w:hAnsi="Tahoma" w:cs="Tahoma"/>
        </w:rPr>
        <w:t>bénéficiaire</w:t>
      </w:r>
      <w:r w:rsidR="00C15171" w:rsidRPr="00806242">
        <w:rPr>
          <w:rFonts w:ascii="Tahoma" w:hAnsi="Tahoma" w:cs="Tahoma"/>
        </w:rPr>
        <w:t xml:space="preserve">. </w:t>
      </w:r>
      <w:r w:rsidR="00A4629C" w:rsidRPr="00A4629C">
        <w:rPr>
          <w:rFonts w:ascii="Tahoma" w:hAnsi="Tahoma" w:cs="Tahoma"/>
        </w:rPr>
        <w:t>Si les recettes engendrées par la mise en œuvre du plan d’actions dépassent la part du budget à charge du bénéficiaire de la subvention, ce dernier peut conserver ce surplus de recettes si elles sont réinvesties dans des actions similaires à celles prévues dans le plan d’actions du présent arrêté.</w:t>
      </w:r>
      <w:r w:rsidRPr="00806242">
        <w:rPr>
          <w:rFonts w:ascii="Tahoma" w:hAnsi="Tahoma" w:cs="Tahoma"/>
        </w:rPr>
        <w:t xml:space="preserve"> Dans ce cas</w:t>
      </w:r>
      <w:r w:rsidR="00C12389" w:rsidRPr="00806242">
        <w:rPr>
          <w:rFonts w:ascii="Tahoma" w:hAnsi="Tahoma" w:cs="Tahoma"/>
        </w:rPr>
        <w:t>,</w:t>
      </w:r>
      <w:r w:rsidRPr="00806242">
        <w:rPr>
          <w:rFonts w:ascii="Tahoma" w:hAnsi="Tahoma" w:cs="Tahoma"/>
        </w:rPr>
        <w:t xml:space="preserve"> un tableau de suivi de l’utilisation des recettes est fo</w:t>
      </w:r>
      <w:r w:rsidRPr="539415BF">
        <w:rPr>
          <w:rFonts w:ascii="Tahoma" w:hAnsi="Tahoma" w:cs="Tahoma"/>
        </w:rPr>
        <w:t xml:space="preserve">urni au SPW EER selon un modèle et une fréquence qui </w:t>
      </w:r>
      <w:r w:rsidR="07D5D9EF" w:rsidRPr="539415BF">
        <w:rPr>
          <w:rFonts w:ascii="Tahoma" w:hAnsi="Tahoma" w:cs="Tahoma"/>
        </w:rPr>
        <w:t>son</w:t>
      </w:r>
      <w:r w:rsidRPr="539415BF">
        <w:rPr>
          <w:rFonts w:ascii="Tahoma" w:hAnsi="Tahoma" w:cs="Tahoma"/>
        </w:rPr>
        <w:t>t déterminé</w:t>
      </w:r>
      <w:r w:rsidR="0C018160" w:rsidRPr="539415BF">
        <w:rPr>
          <w:rFonts w:ascii="Tahoma" w:hAnsi="Tahoma" w:cs="Tahoma"/>
        </w:rPr>
        <w:t>s</w:t>
      </w:r>
      <w:r w:rsidRPr="539415BF">
        <w:rPr>
          <w:rFonts w:ascii="Tahoma" w:hAnsi="Tahoma" w:cs="Tahoma"/>
        </w:rPr>
        <w:t xml:space="preserve"> par le SPW EER.</w:t>
      </w:r>
    </w:p>
    <w:p w14:paraId="20B9394D" w14:textId="77777777" w:rsidR="000416E6" w:rsidRPr="00094AAC" w:rsidRDefault="000416E6" w:rsidP="000416E6">
      <w:pPr>
        <w:spacing w:line="240" w:lineRule="auto"/>
        <w:rPr>
          <w:rFonts w:ascii="Tahoma" w:hAnsi="Tahoma" w:cs="Tahoma"/>
        </w:rPr>
      </w:pPr>
    </w:p>
    <w:p w14:paraId="7CD7FD62" w14:textId="77777777" w:rsidR="000416E6" w:rsidRPr="00094AAC" w:rsidRDefault="000416E6" w:rsidP="6A992299">
      <w:pPr>
        <w:spacing w:line="240" w:lineRule="auto"/>
        <w:rPr>
          <w:rFonts w:ascii="Tahoma" w:hAnsi="Tahoma" w:cs="Tahoma"/>
          <w:b/>
          <w:bCs/>
          <w:u w:val="single"/>
        </w:rPr>
      </w:pPr>
      <w:r w:rsidRPr="539415BF">
        <w:rPr>
          <w:rFonts w:ascii="Tahoma" w:hAnsi="Tahoma" w:cs="Tahoma"/>
          <w:b/>
          <w:bCs/>
          <w:u w:val="single"/>
        </w:rPr>
        <w:t>T.V.A.</w:t>
      </w:r>
    </w:p>
    <w:p w14:paraId="0520A492" w14:textId="77777777" w:rsidR="000416E6" w:rsidRPr="00094AAC" w:rsidRDefault="000416E6" w:rsidP="000416E6">
      <w:pPr>
        <w:spacing w:line="240" w:lineRule="auto"/>
        <w:rPr>
          <w:rFonts w:ascii="Tahoma" w:hAnsi="Tahoma" w:cs="Tahoma"/>
        </w:rPr>
      </w:pPr>
    </w:p>
    <w:p w14:paraId="56DB7298" w14:textId="48F292C4" w:rsidR="000416E6" w:rsidRPr="00094AAC" w:rsidRDefault="7661E33E" w:rsidP="0F314498">
      <w:pPr>
        <w:spacing w:line="240" w:lineRule="auto"/>
        <w:rPr>
          <w:rFonts w:ascii="Tahoma" w:eastAsia="Tahoma" w:hAnsi="Tahoma" w:cs="Tahoma"/>
          <w:color w:val="000000" w:themeColor="text1"/>
        </w:rPr>
      </w:pPr>
      <w:r w:rsidRPr="20FE1AA1">
        <w:rPr>
          <w:rFonts w:ascii="Tahoma" w:eastAsia="Tahoma" w:hAnsi="Tahoma" w:cs="Tahoma"/>
          <w:color w:val="000000" w:themeColor="text1"/>
        </w:rPr>
        <w:t>Par défaut, le bénéficiaire est présumé être assujetti totalement à la TVA ; dès lors les frais sont subsidiés sur base du montant hors TVA.</w:t>
      </w:r>
    </w:p>
    <w:p w14:paraId="7BF6AF9E" w14:textId="2747A2D3" w:rsidR="000416E6" w:rsidRPr="00094AAC" w:rsidRDefault="000416E6" w:rsidP="20FE1AA1">
      <w:pPr>
        <w:spacing w:line="240" w:lineRule="auto"/>
        <w:rPr>
          <w:rFonts w:ascii="Tahoma" w:eastAsia="Tahoma" w:hAnsi="Tahoma" w:cs="Tahoma"/>
          <w:color w:val="000000" w:themeColor="text1"/>
        </w:rPr>
      </w:pPr>
    </w:p>
    <w:p w14:paraId="50563434" w14:textId="745EFEFE" w:rsidR="000416E6" w:rsidRPr="00094AAC" w:rsidRDefault="7661E33E" w:rsidP="20FE1AA1">
      <w:pPr>
        <w:spacing w:line="240" w:lineRule="auto"/>
        <w:rPr>
          <w:rFonts w:ascii="Tahoma" w:eastAsia="Tahoma" w:hAnsi="Tahoma" w:cs="Tahoma"/>
          <w:color w:val="000000" w:themeColor="text1"/>
        </w:rPr>
      </w:pPr>
      <w:r w:rsidRPr="20FE1AA1">
        <w:rPr>
          <w:rFonts w:ascii="Tahoma" w:eastAsia="Tahoma" w:hAnsi="Tahoma" w:cs="Tahoma"/>
          <w:color w:val="000000" w:themeColor="text1"/>
        </w:rPr>
        <w:t>Si le bénéficiaire est non assujetti ou assujetti partiel, il fournit une attestation justifiant le taux de non-récupération.</w:t>
      </w:r>
    </w:p>
    <w:p w14:paraId="4ED005CF" w14:textId="268C4DFE" w:rsidR="000416E6" w:rsidRPr="00094AAC" w:rsidRDefault="000416E6" w:rsidP="000416E6">
      <w:pPr>
        <w:spacing w:line="240" w:lineRule="auto"/>
        <w:jc w:val="left"/>
        <w:rPr>
          <w:rFonts w:ascii="Tahoma" w:hAnsi="Tahoma" w:cs="Tahoma"/>
        </w:rPr>
      </w:pPr>
    </w:p>
    <w:p w14:paraId="1D7BBC07" w14:textId="77777777" w:rsidR="000416E6" w:rsidRPr="00094AAC" w:rsidRDefault="000416E6" w:rsidP="000416E6">
      <w:pPr>
        <w:spacing w:line="240" w:lineRule="auto"/>
        <w:rPr>
          <w:rFonts w:ascii="Tahoma" w:hAnsi="Tahoma" w:cs="Tahoma"/>
          <w:b/>
          <w:caps/>
          <w:u w:val="single"/>
        </w:rPr>
      </w:pPr>
      <w:r w:rsidRPr="00094AAC">
        <w:rPr>
          <w:rFonts w:ascii="Tahoma" w:hAnsi="Tahoma" w:cs="Tahoma"/>
          <w:b/>
          <w:caps/>
          <w:u w:val="single"/>
        </w:rPr>
        <w:t>Dépenses éligibles</w:t>
      </w:r>
    </w:p>
    <w:p w14:paraId="2EE92C9D" w14:textId="77777777" w:rsidR="000416E6" w:rsidRPr="00094AAC" w:rsidRDefault="000416E6" w:rsidP="000416E6">
      <w:pPr>
        <w:spacing w:line="240" w:lineRule="auto"/>
        <w:rPr>
          <w:rFonts w:ascii="Tahoma" w:hAnsi="Tahoma" w:cs="Tahoma"/>
          <w:b/>
          <w:u w:val="single"/>
        </w:rPr>
      </w:pPr>
    </w:p>
    <w:p w14:paraId="4261553B" w14:textId="77777777" w:rsidR="000416E6" w:rsidRPr="00094AAC" w:rsidRDefault="000416E6" w:rsidP="000416E6">
      <w:pPr>
        <w:spacing w:line="240" w:lineRule="auto"/>
        <w:rPr>
          <w:rFonts w:ascii="Tahoma" w:hAnsi="Tahoma" w:cs="Tahoma"/>
        </w:rPr>
      </w:pPr>
      <w:r w:rsidRPr="00094AAC">
        <w:rPr>
          <w:rFonts w:ascii="Tahoma" w:hAnsi="Tahoma" w:cs="Tahoma"/>
        </w:rPr>
        <w:t>Les dépenses reconnues éligibles sont celles spécifiées dans l’arrêté de subvention, ou toute annexe faisant partie intégrante de celui-ci.</w:t>
      </w:r>
    </w:p>
    <w:p w14:paraId="2B0F9C3D" w14:textId="77777777" w:rsidR="000416E6" w:rsidRPr="00094AAC" w:rsidRDefault="000416E6" w:rsidP="000416E6">
      <w:pPr>
        <w:spacing w:line="240" w:lineRule="auto"/>
        <w:rPr>
          <w:rFonts w:ascii="Tahoma" w:hAnsi="Tahoma" w:cs="Tahoma"/>
        </w:rPr>
      </w:pPr>
    </w:p>
    <w:p w14:paraId="10E9A7E8" w14:textId="77777777" w:rsidR="000416E6" w:rsidRPr="00094AAC" w:rsidRDefault="000416E6" w:rsidP="000416E6">
      <w:pPr>
        <w:spacing w:line="240" w:lineRule="auto"/>
        <w:rPr>
          <w:rFonts w:ascii="Tahoma" w:hAnsi="Tahoma" w:cs="Tahoma"/>
        </w:rPr>
      </w:pPr>
      <w:r w:rsidRPr="00094AAC">
        <w:rPr>
          <w:rFonts w:ascii="Tahoma" w:hAnsi="Tahoma" w:cs="Tahoma"/>
        </w:rPr>
        <w:t>Pour les opérateurs soumis à la réglementation des marchés publics, seules les dépenses respectant ladite réglementation sont éligibles. L’ensemble des documents attestant le bon respect de la réglementation est transmis, sur simple demande, à l’administration dont relève l’octroi et la vérification de la subvention.</w:t>
      </w:r>
    </w:p>
    <w:p w14:paraId="6EDB174A" w14:textId="77777777" w:rsidR="000416E6" w:rsidRPr="00094AAC" w:rsidRDefault="000416E6" w:rsidP="000416E6">
      <w:pPr>
        <w:spacing w:line="240" w:lineRule="auto"/>
        <w:rPr>
          <w:rFonts w:ascii="Tahoma" w:hAnsi="Tahoma" w:cs="Tahoma"/>
        </w:rPr>
      </w:pPr>
    </w:p>
    <w:p w14:paraId="661971EF" w14:textId="77777777" w:rsidR="000416E6" w:rsidRPr="00094AAC" w:rsidRDefault="16B74657" w:rsidP="1612D95A">
      <w:pPr>
        <w:pStyle w:val="Paragraphedeliste"/>
        <w:numPr>
          <w:ilvl w:val="0"/>
          <w:numId w:val="2"/>
        </w:numPr>
        <w:spacing w:line="240" w:lineRule="auto"/>
        <w:rPr>
          <w:rFonts w:ascii="Tahoma" w:hAnsi="Tahoma" w:cs="Tahoma"/>
          <w:b/>
          <w:bCs/>
        </w:rPr>
      </w:pPr>
      <w:r w:rsidRPr="1612D95A">
        <w:rPr>
          <w:rFonts w:ascii="Tahoma" w:hAnsi="Tahoma" w:cs="Tahoma"/>
          <w:b/>
          <w:bCs/>
        </w:rPr>
        <w:t>Frais de personnel</w:t>
      </w:r>
    </w:p>
    <w:p w14:paraId="7934C7FF" w14:textId="77777777" w:rsidR="000416E6" w:rsidRPr="00094AAC" w:rsidRDefault="000416E6" w:rsidP="000416E6">
      <w:pPr>
        <w:spacing w:line="240" w:lineRule="auto"/>
        <w:rPr>
          <w:rFonts w:ascii="Tahoma" w:hAnsi="Tahoma" w:cs="Tahoma"/>
        </w:rPr>
      </w:pPr>
    </w:p>
    <w:p w14:paraId="78E96A3C" w14:textId="77777777" w:rsidR="000416E6" w:rsidRPr="00094AAC" w:rsidRDefault="000416E6" w:rsidP="000416E6">
      <w:pPr>
        <w:spacing w:line="240" w:lineRule="auto"/>
        <w:rPr>
          <w:rFonts w:ascii="Tahoma" w:hAnsi="Tahoma" w:cs="Tahoma"/>
        </w:rPr>
      </w:pPr>
      <w:r w:rsidRPr="00094AAC">
        <w:rPr>
          <w:rFonts w:ascii="Tahoma" w:hAnsi="Tahoma" w:cs="Tahoma"/>
        </w:rPr>
        <w:t>Il s’agit du personnel occupé en interne et qui est directement affecté à l’action pour laquelle la subvention est octroyée.</w:t>
      </w:r>
      <w:r w:rsidRPr="00094AAC">
        <w:rPr>
          <w:rFonts w:ascii="Tahoma" w:hAnsi="Tahoma" w:cs="Tahoma"/>
          <w:b/>
        </w:rPr>
        <w:t xml:space="preserve"> Lorsque des salaires sont introduits comme pièce, le compte individuel incluant les cotisations patronales émanant d’un secrétariat social vaut comme pièce.</w:t>
      </w:r>
    </w:p>
    <w:p w14:paraId="2D9D6F84" w14:textId="77777777" w:rsidR="000416E6" w:rsidRPr="00094AAC" w:rsidRDefault="000416E6" w:rsidP="000416E6">
      <w:pPr>
        <w:spacing w:line="240" w:lineRule="auto"/>
        <w:jc w:val="left"/>
        <w:rPr>
          <w:rFonts w:ascii="Tahoma" w:hAnsi="Tahoma" w:cs="Tahoma"/>
        </w:rPr>
      </w:pPr>
    </w:p>
    <w:p w14:paraId="0BCBEE34" w14:textId="684BE09C" w:rsidR="000416E6" w:rsidRPr="00094AAC" w:rsidRDefault="16B74657" w:rsidP="000416E6">
      <w:pPr>
        <w:spacing w:line="240" w:lineRule="auto"/>
        <w:rPr>
          <w:rFonts w:ascii="Tahoma" w:hAnsi="Tahoma" w:cs="Tahoma"/>
        </w:rPr>
      </w:pPr>
      <w:r w:rsidRPr="1612D95A">
        <w:rPr>
          <w:rFonts w:ascii="Tahoma" w:hAnsi="Tahoma" w:cs="Tahoma"/>
        </w:rPr>
        <w:t xml:space="preserve">Pour rappel, les frais de personnel sont présentés déduction faite de toute réduction salariale ou intervention de tiers comme l’APE, la prime à l’emploi ou les jours de congé étude, mise à disposition. Ces réductions et interventions apparaissent dans le tableau </w:t>
      </w:r>
      <w:r w:rsidR="00C12389">
        <w:rPr>
          <w:rFonts w:ascii="Tahoma" w:hAnsi="Tahoma" w:cs="Tahoma"/>
        </w:rPr>
        <w:t>récapitulatif des dépenses</w:t>
      </w:r>
      <w:r w:rsidR="00C12389" w:rsidRPr="1612D95A">
        <w:rPr>
          <w:rFonts w:ascii="Tahoma" w:hAnsi="Tahoma" w:cs="Tahoma"/>
        </w:rPr>
        <w:t xml:space="preserve"> </w:t>
      </w:r>
      <w:r w:rsidRPr="1612D95A">
        <w:rPr>
          <w:rFonts w:ascii="Tahoma" w:hAnsi="Tahoma" w:cs="Tahoma"/>
        </w:rPr>
        <w:t>annexé.</w:t>
      </w:r>
    </w:p>
    <w:p w14:paraId="297DECCD" w14:textId="77777777" w:rsidR="000416E6" w:rsidRPr="00094AAC" w:rsidRDefault="000416E6" w:rsidP="000416E6">
      <w:pPr>
        <w:spacing w:line="240" w:lineRule="auto"/>
        <w:rPr>
          <w:rFonts w:ascii="Tahoma" w:hAnsi="Tahoma" w:cs="Tahoma"/>
        </w:rPr>
      </w:pPr>
    </w:p>
    <w:p w14:paraId="5EF238E1" w14:textId="77777777" w:rsidR="000416E6" w:rsidRPr="00094AAC" w:rsidRDefault="000416E6" w:rsidP="000416E6">
      <w:pPr>
        <w:spacing w:line="240" w:lineRule="auto"/>
        <w:rPr>
          <w:rFonts w:ascii="Tahoma" w:hAnsi="Tahoma" w:cs="Tahoma"/>
        </w:rPr>
      </w:pPr>
      <w:r w:rsidRPr="00094AAC">
        <w:rPr>
          <w:rFonts w:ascii="Tahoma" w:hAnsi="Tahoma" w:cs="Tahoma"/>
        </w:rPr>
        <w:t>Le personnel assigné au projet est identifié formellement par son contrat de travail, à fournir.</w:t>
      </w:r>
    </w:p>
    <w:p w14:paraId="0D7D09BA" w14:textId="77777777" w:rsidR="000416E6" w:rsidRPr="00094AAC" w:rsidRDefault="000416E6" w:rsidP="000416E6">
      <w:pPr>
        <w:spacing w:line="240" w:lineRule="auto"/>
        <w:rPr>
          <w:rFonts w:ascii="Tahoma" w:hAnsi="Tahoma" w:cs="Tahoma"/>
        </w:rPr>
      </w:pPr>
    </w:p>
    <w:p w14:paraId="10EACCF6" w14:textId="776F8D5C" w:rsidR="000416E6" w:rsidRPr="00094AAC" w:rsidRDefault="000416E6" w:rsidP="000416E6">
      <w:pPr>
        <w:spacing w:line="240" w:lineRule="auto"/>
        <w:rPr>
          <w:rFonts w:ascii="Tahoma" w:hAnsi="Tahoma" w:cs="Tahoma"/>
        </w:rPr>
      </w:pPr>
      <w:r w:rsidRPr="7F1358AB">
        <w:rPr>
          <w:rFonts w:ascii="Tahoma" w:hAnsi="Tahoma" w:cs="Tahoma"/>
        </w:rPr>
        <w:t xml:space="preserve">Lorsqu’un salarié est affecté à plusieurs actions ou projets, il y a lieu de préciser ce degré d’affectation en complétant </w:t>
      </w:r>
      <w:r w:rsidR="5A5264AD" w:rsidRPr="7F1358AB">
        <w:rPr>
          <w:rFonts w:ascii="Tahoma" w:hAnsi="Tahoma" w:cs="Tahoma"/>
        </w:rPr>
        <w:t>l</w:t>
      </w:r>
      <w:r w:rsidRPr="7F1358AB">
        <w:rPr>
          <w:rFonts w:ascii="Tahoma" w:hAnsi="Tahoma" w:cs="Tahoma"/>
        </w:rPr>
        <w:t>es prestations détaillées par mois, en pourcentages [</w:t>
      </w:r>
      <w:r w:rsidR="6B5707BC" w:rsidRPr="7F1358AB">
        <w:rPr>
          <w:rFonts w:ascii="Tahoma" w:hAnsi="Tahoma" w:cs="Tahoma"/>
          <w:i/>
          <w:iCs/>
        </w:rPr>
        <w:t xml:space="preserve">Onglet </w:t>
      </w:r>
      <w:r w:rsidRPr="7F1358AB">
        <w:rPr>
          <w:rFonts w:ascii="Tahoma" w:hAnsi="Tahoma" w:cs="Tahoma"/>
          <w:i/>
          <w:iCs/>
        </w:rPr>
        <w:t>1C</w:t>
      </w:r>
      <w:r w:rsidR="408D2C5C" w:rsidRPr="7F1358AB">
        <w:rPr>
          <w:rFonts w:ascii="Tahoma" w:hAnsi="Tahoma" w:cs="Tahoma"/>
          <w:i/>
          <w:iCs/>
        </w:rPr>
        <w:t xml:space="preserve"> de l’annexe Tableau récapitulatif des dépenses</w:t>
      </w:r>
      <w:r w:rsidRPr="7F1358AB">
        <w:rPr>
          <w:rFonts w:ascii="Tahoma" w:hAnsi="Tahoma" w:cs="Tahoma"/>
        </w:rPr>
        <w:t>].</w:t>
      </w:r>
    </w:p>
    <w:p w14:paraId="1AC5A92D" w14:textId="77777777" w:rsidR="000416E6" w:rsidRPr="00094AAC" w:rsidRDefault="000416E6" w:rsidP="000416E6">
      <w:pPr>
        <w:spacing w:line="240" w:lineRule="auto"/>
        <w:rPr>
          <w:rFonts w:ascii="Tahoma" w:hAnsi="Tahoma" w:cs="Tahoma"/>
        </w:rPr>
      </w:pPr>
    </w:p>
    <w:p w14:paraId="2BF7D27B" w14:textId="16FD24FB" w:rsidR="000416E6" w:rsidRPr="00094AAC" w:rsidRDefault="19C20316" w:rsidP="000416E6">
      <w:pPr>
        <w:spacing w:line="240" w:lineRule="auto"/>
        <w:rPr>
          <w:rFonts w:ascii="Tahoma" w:hAnsi="Tahoma" w:cs="Tahoma"/>
        </w:rPr>
      </w:pPr>
      <w:r w:rsidRPr="627270F3">
        <w:rPr>
          <w:rFonts w:ascii="Tahoma" w:hAnsi="Tahoma" w:cs="Tahoma"/>
        </w:rPr>
        <w:t xml:space="preserve">Afin de simplifier la justification des dépenses salariales, un </w:t>
      </w:r>
      <w:r w:rsidRPr="627270F3">
        <w:rPr>
          <w:rFonts w:ascii="Tahoma" w:hAnsi="Tahoma" w:cs="Tahoma"/>
          <w:b/>
          <w:bCs/>
        </w:rPr>
        <w:t>taux de chargement</w:t>
      </w:r>
      <w:r w:rsidRPr="627270F3">
        <w:rPr>
          <w:rFonts w:ascii="Tahoma" w:hAnsi="Tahoma" w:cs="Tahoma"/>
        </w:rPr>
        <w:t xml:space="preserve"> est appliqué sur les rémunérations brutes </w:t>
      </w:r>
      <w:r w:rsidR="3AA3FE3A" w:rsidRPr="627270F3">
        <w:rPr>
          <w:rFonts w:ascii="Tahoma" w:hAnsi="Tahoma" w:cs="Tahoma"/>
        </w:rPr>
        <w:t>soumis</w:t>
      </w:r>
      <w:r w:rsidR="0E823261" w:rsidRPr="627270F3">
        <w:rPr>
          <w:rFonts w:ascii="Tahoma" w:hAnsi="Tahoma" w:cs="Tahoma"/>
        </w:rPr>
        <w:t>es</w:t>
      </w:r>
      <w:r w:rsidR="3AA3FE3A" w:rsidRPr="627270F3">
        <w:rPr>
          <w:rFonts w:ascii="Tahoma" w:hAnsi="Tahoma" w:cs="Tahoma"/>
        </w:rPr>
        <w:t xml:space="preserve"> à l’ONSS</w:t>
      </w:r>
      <w:r w:rsidRPr="627270F3">
        <w:rPr>
          <w:rFonts w:ascii="Tahoma" w:hAnsi="Tahoma" w:cs="Tahoma"/>
        </w:rPr>
        <w:t>. Ce taux de chargement comprend tous les avantages légaux et extra-légaux admissibles</w:t>
      </w:r>
      <w:r w:rsidR="3AC5C5A4" w:rsidRPr="627270F3">
        <w:rPr>
          <w:rFonts w:ascii="Tahoma" w:hAnsi="Tahoma" w:cs="Tahoma"/>
        </w:rPr>
        <w:t>.</w:t>
      </w:r>
    </w:p>
    <w:p w14:paraId="5D5275D3" w14:textId="77777777" w:rsidR="000416E6" w:rsidRPr="00094AAC" w:rsidRDefault="000416E6" w:rsidP="000416E6">
      <w:pPr>
        <w:spacing w:line="240" w:lineRule="auto"/>
        <w:rPr>
          <w:rFonts w:ascii="Tahoma" w:hAnsi="Tahoma" w:cs="Tahoma"/>
        </w:rPr>
      </w:pPr>
    </w:p>
    <w:p w14:paraId="3F7F01E2" w14:textId="77777777" w:rsidR="000416E6" w:rsidRPr="00094AAC" w:rsidRDefault="000416E6" w:rsidP="000416E6">
      <w:pPr>
        <w:spacing w:line="240" w:lineRule="auto"/>
        <w:rPr>
          <w:rFonts w:ascii="Tahoma" w:hAnsi="Tahoma" w:cs="Tahoma"/>
        </w:rPr>
      </w:pPr>
      <w:r w:rsidRPr="00094AAC">
        <w:rPr>
          <w:rFonts w:ascii="Tahoma" w:hAnsi="Tahoma" w:cs="Tahoma"/>
        </w:rPr>
        <w:t xml:space="preserve">Le taux de chargement applicable est celui en vigueur au premier jour de la période de subventionnement. </w:t>
      </w:r>
    </w:p>
    <w:p w14:paraId="067819F7" w14:textId="77777777" w:rsidR="000416E6" w:rsidRPr="00094AAC" w:rsidRDefault="000416E6" w:rsidP="000416E6">
      <w:pPr>
        <w:spacing w:line="240" w:lineRule="auto"/>
        <w:rPr>
          <w:rFonts w:ascii="Tahoma" w:hAnsi="Tahoma" w:cs="Tahoma"/>
        </w:rPr>
      </w:pPr>
    </w:p>
    <w:p w14:paraId="4888CA8F" w14:textId="6F98C31E" w:rsidR="000416E6" w:rsidRPr="00094AAC" w:rsidRDefault="16B74657" w:rsidP="000416E6">
      <w:pPr>
        <w:spacing w:line="240" w:lineRule="auto"/>
        <w:rPr>
          <w:rFonts w:ascii="Tahoma" w:hAnsi="Tahoma" w:cs="Tahoma"/>
        </w:rPr>
      </w:pPr>
      <w:r w:rsidRPr="1612D95A">
        <w:rPr>
          <w:rFonts w:ascii="Tahoma" w:hAnsi="Tahoma" w:cs="Tahoma"/>
        </w:rPr>
        <w:t xml:space="preserve">Dans l’hypothèse où l’arrêté prévoit un salaire maximal en application des barèmes du SPW, l’ancienneté dans une fonction équivalente, au sein ou en dehors de la structure, est prise en considération. </w:t>
      </w:r>
      <w:r w:rsidR="5B55214A" w:rsidRPr="1612D95A">
        <w:rPr>
          <w:rFonts w:ascii="Tahoma" w:hAnsi="Tahoma" w:cs="Tahoma"/>
        </w:rPr>
        <w:t>L</w:t>
      </w:r>
      <w:r w:rsidRPr="1612D95A">
        <w:rPr>
          <w:rFonts w:ascii="Tahoma" w:hAnsi="Tahoma" w:cs="Tahoma"/>
        </w:rPr>
        <w:t xml:space="preserve">e barème mensuel applicable est celui en vigueur à la date d’entrée en vigueur du présent arrêté. </w:t>
      </w:r>
    </w:p>
    <w:p w14:paraId="42CFA1C5" w14:textId="25594252" w:rsidR="000416E6" w:rsidRPr="00094AAC" w:rsidRDefault="1747F795" w:rsidP="000416E6">
      <w:pPr>
        <w:spacing w:line="240" w:lineRule="auto"/>
        <w:rPr>
          <w:rFonts w:ascii="Tahoma" w:hAnsi="Tahoma" w:cs="Tahoma"/>
        </w:rPr>
      </w:pPr>
      <w:r w:rsidRPr="1612D95A">
        <w:rPr>
          <w:rFonts w:ascii="Tahoma" w:hAnsi="Tahoma" w:cs="Tahoma"/>
        </w:rPr>
        <w:t>L</w:t>
      </w:r>
      <w:r w:rsidR="16B74657" w:rsidRPr="1612D95A">
        <w:rPr>
          <w:rFonts w:ascii="Tahoma" w:hAnsi="Tahoma" w:cs="Tahoma"/>
        </w:rPr>
        <w:t>es pièces justificatives annexées au rapport d’activités permettent de définir l’ancienneté et l’expertise de chaque personne affectée au projet.</w:t>
      </w:r>
    </w:p>
    <w:p w14:paraId="327DE9E5" w14:textId="77777777" w:rsidR="000416E6" w:rsidRPr="00094AAC" w:rsidRDefault="000416E6" w:rsidP="000416E6">
      <w:pPr>
        <w:spacing w:line="240" w:lineRule="auto"/>
        <w:rPr>
          <w:rFonts w:ascii="Tahoma" w:hAnsi="Tahoma" w:cs="Tahoma"/>
        </w:rPr>
      </w:pPr>
    </w:p>
    <w:p w14:paraId="2382BC2D" w14:textId="77777777" w:rsidR="000416E6" w:rsidRPr="00094AAC" w:rsidRDefault="000416E6" w:rsidP="000416E6">
      <w:pPr>
        <w:spacing w:line="240" w:lineRule="auto"/>
        <w:rPr>
          <w:rFonts w:ascii="Tahoma" w:hAnsi="Tahoma" w:cs="Tahoma"/>
        </w:rPr>
      </w:pPr>
      <w:r w:rsidRPr="7F1358AB">
        <w:rPr>
          <w:rFonts w:ascii="Tahoma" w:hAnsi="Tahoma" w:cs="Tahoma"/>
        </w:rPr>
        <w:t>Les préavis non prestés ne sont pas éligibles.</w:t>
      </w:r>
    </w:p>
    <w:p w14:paraId="6979D6D9" w14:textId="77777777" w:rsidR="000416E6" w:rsidRPr="00094AAC" w:rsidRDefault="000416E6" w:rsidP="000416E6">
      <w:pPr>
        <w:spacing w:line="240" w:lineRule="auto"/>
        <w:rPr>
          <w:rFonts w:ascii="Tahoma" w:hAnsi="Tahoma" w:cs="Tahoma"/>
        </w:rPr>
      </w:pPr>
    </w:p>
    <w:p w14:paraId="02342E22" w14:textId="75FD4833" w:rsidR="000416E6" w:rsidRPr="00806242" w:rsidRDefault="16B74657" w:rsidP="21CA6CB8">
      <w:pPr>
        <w:pStyle w:val="Paragraphedeliste"/>
        <w:numPr>
          <w:ilvl w:val="0"/>
          <w:numId w:val="2"/>
        </w:numPr>
        <w:spacing w:line="240" w:lineRule="auto"/>
        <w:rPr>
          <w:rFonts w:ascii="Tahoma" w:hAnsi="Tahoma" w:cs="Tahoma"/>
          <w:b/>
          <w:bCs/>
        </w:rPr>
      </w:pPr>
      <w:r w:rsidRPr="539415BF">
        <w:rPr>
          <w:rFonts w:ascii="Tahoma" w:hAnsi="Tahoma" w:cs="Tahoma"/>
          <w:b/>
          <w:bCs/>
        </w:rPr>
        <w:t xml:space="preserve">Frais de sous-traitance - </w:t>
      </w:r>
      <w:r w:rsidR="781EE1D5" w:rsidRPr="00806242">
        <w:rPr>
          <w:rFonts w:ascii="Tahoma" w:hAnsi="Tahoma" w:cs="Tahoma"/>
          <w:b/>
          <w:bCs/>
        </w:rPr>
        <w:t xml:space="preserve">honoraires de </w:t>
      </w:r>
      <w:r w:rsidR="3F085DA6" w:rsidRPr="00806242">
        <w:rPr>
          <w:rFonts w:ascii="Tahoma" w:hAnsi="Tahoma" w:cs="Tahoma"/>
          <w:b/>
          <w:bCs/>
        </w:rPr>
        <w:t>prestataires</w:t>
      </w:r>
      <w:r w:rsidR="781EE1D5" w:rsidRPr="00806242">
        <w:rPr>
          <w:rFonts w:ascii="Tahoma" w:hAnsi="Tahoma" w:cs="Tahoma"/>
          <w:b/>
          <w:bCs/>
        </w:rPr>
        <w:t xml:space="preserve"> externe</w:t>
      </w:r>
      <w:r w:rsidR="0A916524" w:rsidRPr="00806242">
        <w:rPr>
          <w:rFonts w:ascii="Tahoma" w:hAnsi="Tahoma" w:cs="Tahoma"/>
          <w:b/>
          <w:bCs/>
        </w:rPr>
        <w:t>s</w:t>
      </w:r>
    </w:p>
    <w:p w14:paraId="26DA8606" w14:textId="77777777" w:rsidR="000416E6" w:rsidRPr="00806242" w:rsidRDefault="000416E6" w:rsidP="000416E6">
      <w:pPr>
        <w:spacing w:line="240" w:lineRule="auto"/>
        <w:rPr>
          <w:rFonts w:ascii="Tahoma" w:hAnsi="Tahoma" w:cs="Tahoma"/>
        </w:rPr>
      </w:pPr>
    </w:p>
    <w:p w14:paraId="28546C73" w14:textId="0CBBFB7C" w:rsidR="000416E6" w:rsidRPr="00806242" w:rsidRDefault="16B74657" w:rsidP="000416E6">
      <w:pPr>
        <w:spacing w:line="240" w:lineRule="auto"/>
        <w:rPr>
          <w:rFonts w:ascii="Tahoma" w:hAnsi="Tahoma" w:cs="Tahoma"/>
        </w:rPr>
      </w:pPr>
      <w:r w:rsidRPr="00806242">
        <w:rPr>
          <w:rFonts w:ascii="Tahoma" w:hAnsi="Tahoma" w:cs="Tahoma"/>
        </w:rPr>
        <w:t>Lorsqu’il s’agit de subsidier d</w:t>
      </w:r>
      <w:r w:rsidR="03BB1517" w:rsidRPr="00806242">
        <w:rPr>
          <w:rFonts w:ascii="Tahoma" w:hAnsi="Tahoma" w:cs="Tahoma"/>
        </w:rPr>
        <w:t xml:space="preserve">es </w:t>
      </w:r>
      <w:r w:rsidR="706A477C" w:rsidRPr="00806242">
        <w:rPr>
          <w:rFonts w:ascii="Tahoma" w:hAnsi="Tahoma" w:cs="Tahoma"/>
        </w:rPr>
        <w:t>prestataire</w:t>
      </w:r>
      <w:r w:rsidR="03BB1517" w:rsidRPr="00806242">
        <w:rPr>
          <w:rFonts w:ascii="Tahoma" w:hAnsi="Tahoma" w:cs="Tahoma"/>
        </w:rPr>
        <w:t>s</w:t>
      </w:r>
      <w:r w:rsidRPr="00806242">
        <w:rPr>
          <w:rFonts w:ascii="Tahoma" w:hAnsi="Tahoma" w:cs="Tahoma"/>
        </w:rPr>
        <w:t xml:space="preserve"> externe</w:t>
      </w:r>
      <w:r w:rsidR="5B426D7A" w:rsidRPr="00806242">
        <w:rPr>
          <w:rFonts w:ascii="Tahoma" w:hAnsi="Tahoma" w:cs="Tahoma"/>
        </w:rPr>
        <w:t>s</w:t>
      </w:r>
      <w:r w:rsidRPr="00806242">
        <w:rPr>
          <w:rFonts w:ascii="Tahoma" w:hAnsi="Tahoma" w:cs="Tahoma"/>
        </w:rPr>
        <w:t xml:space="preserve"> comme de</w:t>
      </w:r>
      <w:r w:rsidR="51DADAF3" w:rsidRPr="00806242">
        <w:rPr>
          <w:rFonts w:ascii="Tahoma" w:hAnsi="Tahoma" w:cs="Tahoma"/>
        </w:rPr>
        <w:t>s</w:t>
      </w:r>
      <w:r w:rsidRPr="00806242">
        <w:rPr>
          <w:rFonts w:ascii="Tahoma" w:hAnsi="Tahoma" w:cs="Tahoma"/>
        </w:rPr>
        <w:t xml:space="preserve"> consultan</w:t>
      </w:r>
      <w:r w:rsidR="29C0280F" w:rsidRPr="00806242">
        <w:rPr>
          <w:rFonts w:ascii="Tahoma" w:hAnsi="Tahoma" w:cs="Tahoma"/>
        </w:rPr>
        <w:t>ts</w:t>
      </w:r>
      <w:r w:rsidRPr="00806242">
        <w:rPr>
          <w:rFonts w:ascii="Tahoma" w:hAnsi="Tahoma" w:cs="Tahoma"/>
        </w:rPr>
        <w:t>, la prestation facturée est dûment explicitée. Le contrat entre le prestataire et l’opérateur subsidié, passé dans le respect des règles relatives aux marchés publics est fourni.</w:t>
      </w:r>
    </w:p>
    <w:p w14:paraId="49D14135" w14:textId="77777777" w:rsidR="000416E6" w:rsidRPr="00806242" w:rsidRDefault="000416E6" w:rsidP="000416E6">
      <w:pPr>
        <w:spacing w:line="240" w:lineRule="auto"/>
        <w:rPr>
          <w:rFonts w:ascii="Tahoma" w:hAnsi="Tahoma" w:cs="Tahoma"/>
        </w:rPr>
      </w:pPr>
    </w:p>
    <w:p w14:paraId="7BBF6864" w14:textId="7BC40EF8" w:rsidR="000416E6" w:rsidRPr="00806242" w:rsidRDefault="2C5E3907" w:rsidP="000416E6">
      <w:pPr>
        <w:spacing w:line="240" w:lineRule="auto"/>
        <w:rPr>
          <w:rFonts w:ascii="Tahoma" w:hAnsi="Tahoma" w:cs="Tahoma"/>
        </w:rPr>
      </w:pPr>
      <w:r w:rsidRPr="00806242">
        <w:rPr>
          <w:rFonts w:ascii="Tahoma" w:hAnsi="Tahoma" w:cs="Tahoma"/>
        </w:rPr>
        <w:lastRenderedPageBreak/>
        <w:t>Les prestations sont justifiées par des « </w:t>
      </w:r>
      <w:r w:rsidRPr="00806242">
        <w:rPr>
          <w:rFonts w:ascii="Tahoma" w:hAnsi="Tahoma" w:cs="Tahoma"/>
          <w:i/>
          <w:iCs/>
        </w:rPr>
        <w:t xml:space="preserve">timesheets » </w:t>
      </w:r>
      <w:r w:rsidRPr="00806242">
        <w:rPr>
          <w:rFonts w:ascii="Tahoma" w:hAnsi="Tahoma" w:cs="Tahoma"/>
        </w:rPr>
        <w:t>détaillées par mois, en jours [</w:t>
      </w:r>
      <w:r w:rsidR="0FCC0286" w:rsidRPr="00806242">
        <w:rPr>
          <w:rFonts w:ascii="Tahoma" w:hAnsi="Tahoma" w:cs="Tahoma"/>
        </w:rPr>
        <w:t>Onglet 1C d</w:t>
      </w:r>
      <w:r w:rsidR="56CAC21B" w:rsidRPr="00806242">
        <w:rPr>
          <w:rFonts w:ascii="Tahoma" w:hAnsi="Tahoma" w:cs="Tahoma"/>
        </w:rPr>
        <w:t>u</w:t>
      </w:r>
      <w:r w:rsidR="56CAC21B" w:rsidRPr="00806242">
        <w:rPr>
          <w:rFonts w:ascii="Tahoma" w:hAnsi="Tahoma" w:cs="Tahoma"/>
          <w:i/>
          <w:iCs/>
        </w:rPr>
        <w:t xml:space="preserve"> Tableau récapitulatif des dépenses</w:t>
      </w:r>
      <w:r w:rsidRPr="00806242">
        <w:rPr>
          <w:rFonts w:ascii="Tahoma" w:hAnsi="Tahoma" w:cs="Tahoma"/>
        </w:rPr>
        <w:t>].</w:t>
      </w:r>
      <w:r w:rsidR="6CDC88C8" w:rsidRPr="00806242">
        <w:rPr>
          <w:rFonts w:ascii="Tahoma" w:hAnsi="Tahoma" w:cs="Tahoma"/>
        </w:rPr>
        <w:t xml:space="preserve">  </w:t>
      </w:r>
      <w:r w:rsidR="781EE1D5" w:rsidRPr="00806242">
        <w:rPr>
          <w:rFonts w:ascii="Tahoma" w:hAnsi="Tahoma" w:cs="Tahoma"/>
        </w:rPr>
        <w:t>La facture précise les jours de prestation et la durée de celle-ci en heures, demi-journées ou journées complètes. Une journée correspond à 8 heures de prestation.</w:t>
      </w:r>
      <w:r w:rsidR="47CB39F9" w:rsidRPr="00806242">
        <w:rPr>
          <w:rFonts w:ascii="Tahoma" w:hAnsi="Tahoma" w:cs="Tahoma"/>
        </w:rPr>
        <w:t xml:space="preserve"> Le montant éligible est limité à </w:t>
      </w:r>
      <w:r w:rsidR="75B73F02" w:rsidRPr="00806242">
        <w:rPr>
          <w:rFonts w:ascii="Tahoma" w:hAnsi="Tahoma" w:cs="Tahoma"/>
        </w:rPr>
        <w:t>1.0</w:t>
      </w:r>
      <w:r w:rsidR="47CB39F9" w:rsidRPr="00806242">
        <w:rPr>
          <w:rFonts w:ascii="Tahoma" w:hAnsi="Tahoma" w:cs="Tahoma"/>
        </w:rPr>
        <w:t>00 euros HTVA par jour.</w:t>
      </w:r>
    </w:p>
    <w:p w14:paraId="7914B1DF" w14:textId="77777777" w:rsidR="000416E6" w:rsidRPr="00806242" w:rsidRDefault="000416E6" w:rsidP="000416E6">
      <w:pPr>
        <w:spacing w:line="240" w:lineRule="auto"/>
        <w:rPr>
          <w:rFonts w:ascii="Tahoma" w:hAnsi="Tahoma" w:cs="Tahoma"/>
        </w:rPr>
      </w:pPr>
    </w:p>
    <w:p w14:paraId="39721032" w14:textId="77777777" w:rsidR="000416E6" w:rsidRPr="00806242" w:rsidRDefault="000416E6" w:rsidP="000416E6">
      <w:pPr>
        <w:spacing w:line="240" w:lineRule="auto"/>
        <w:rPr>
          <w:rFonts w:ascii="Tahoma" w:hAnsi="Tahoma" w:cs="Tahoma"/>
        </w:rPr>
      </w:pPr>
    </w:p>
    <w:p w14:paraId="67E41FC2" w14:textId="77777777" w:rsidR="000416E6" w:rsidRPr="00806242" w:rsidRDefault="000416E6" w:rsidP="000416E6">
      <w:pPr>
        <w:numPr>
          <w:ilvl w:val="0"/>
          <w:numId w:val="2"/>
        </w:numPr>
        <w:spacing w:line="240" w:lineRule="auto"/>
        <w:ind w:left="0" w:firstLine="0"/>
        <w:rPr>
          <w:rFonts w:ascii="Tahoma" w:hAnsi="Tahoma" w:cs="Tahoma"/>
          <w:b/>
        </w:rPr>
      </w:pPr>
      <w:r w:rsidRPr="00806242">
        <w:rPr>
          <w:rFonts w:ascii="Tahoma" w:hAnsi="Tahoma" w:cs="Tahoma"/>
          <w:b/>
        </w:rPr>
        <w:t>Frais de communication et d’actions</w:t>
      </w:r>
    </w:p>
    <w:p w14:paraId="35A34E43" w14:textId="77777777" w:rsidR="000416E6" w:rsidRPr="00806242" w:rsidRDefault="000416E6" w:rsidP="000416E6">
      <w:pPr>
        <w:spacing w:line="240" w:lineRule="auto"/>
        <w:rPr>
          <w:rFonts w:ascii="Tahoma" w:hAnsi="Tahoma" w:cs="Tahoma"/>
        </w:rPr>
      </w:pPr>
    </w:p>
    <w:p w14:paraId="6CB374D6" w14:textId="55E32554" w:rsidR="0F0F9404" w:rsidRPr="00806242" w:rsidRDefault="0F0F9404" w:rsidP="2751DD55">
      <w:pPr>
        <w:spacing w:line="240" w:lineRule="auto"/>
        <w:rPr>
          <w:rFonts w:ascii="Tahoma" w:hAnsi="Tahoma" w:cs="Tahoma"/>
        </w:rPr>
      </w:pPr>
      <w:r w:rsidRPr="00806242">
        <w:rPr>
          <w:rFonts w:ascii="Tahoma" w:hAnsi="Tahoma" w:cs="Tahoma"/>
        </w:rPr>
        <w:t>Les prestations</w:t>
      </w:r>
      <w:r w:rsidR="0012470E" w:rsidRPr="00806242">
        <w:rPr>
          <w:rFonts w:ascii="Tahoma" w:hAnsi="Tahoma" w:cs="Tahoma"/>
        </w:rPr>
        <w:t xml:space="preserve"> de communication ou d’action</w:t>
      </w:r>
      <w:r w:rsidRPr="00806242">
        <w:rPr>
          <w:rFonts w:ascii="Tahoma" w:hAnsi="Tahoma" w:cs="Tahoma"/>
        </w:rPr>
        <w:t xml:space="preserve"> effectuées par </w:t>
      </w:r>
      <w:r w:rsidR="0012470E" w:rsidRPr="00806242">
        <w:rPr>
          <w:rFonts w:ascii="Tahoma" w:hAnsi="Tahoma" w:cs="Tahoma"/>
        </w:rPr>
        <w:t>un sous-traitant</w:t>
      </w:r>
      <w:r w:rsidR="0DABCA6B" w:rsidRPr="00806242">
        <w:rPr>
          <w:rFonts w:ascii="Tahoma" w:hAnsi="Tahoma" w:cs="Tahoma"/>
        </w:rPr>
        <w:t xml:space="preserve"> sont à encoder dans la </w:t>
      </w:r>
      <w:r w:rsidR="000F281E" w:rsidRPr="00806242">
        <w:rPr>
          <w:rFonts w:ascii="Tahoma" w:hAnsi="Tahoma" w:cs="Tahoma"/>
        </w:rPr>
        <w:t>catégorie</w:t>
      </w:r>
      <w:r w:rsidR="0DABCA6B" w:rsidRPr="00806242">
        <w:rPr>
          <w:rFonts w:ascii="Tahoma" w:hAnsi="Tahoma" w:cs="Tahoma"/>
        </w:rPr>
        <w:t xml:space="preserve"> B. </w:t>
      </w:r>
      <w:r w:rsidR="0AA40641" w:rsidRPr="00806242">
        <w:rPr>
          <w:rFonts w:ascii="Tahoma" w:hAnsi="Tahoma" w:cs="Tahoma"/>
        </w:rPr>
        <w:t>Toute prestation est accompagnée d’un time</w:t>
      </w:r>
      <w:r w:rsidR="00744308" w:rsidRPr="00806242">
        <w:rPr>
          <w:rFonts w:ascii="Tahoma" w:hAnsi="Tahoma" w:cs="Tahoma"/>
        </w:rPr>
        <w:t>-</w:t>
      </w:r>
      <w:r w:rsidR="0AA40641" w:rsidRPr="00806242">
        <w:rPr>
          <w:rFonts w:ascii="Tahoma" w:hAnsi="Tahoma" w:cs="Tahoma"/>
        </w:rPr>
        <w:t>she</w:t>
      </w:r>
      <w:r w:rsidR="59C7816C" w:rsidRPr="00806242">
        <w:rPr>
          <w:rFonts w:ascii="Tahoma" w:hAnsi="Tahoma" w:cs="Tahoma"/>
        </w:rPr>
        <w:t>et [</w:t>
      </w:r>
      <w:r w:rsidR="0012470E" w:rsidRPr="00806242">
        <w:rPr>
          <w:rFonts w:ascii="Tahoma" w:hAnsi="Tahoma" w:cs="Tahoma"/>
        </w:rPr>
        <w:t xml:space="preserve">Onglet </w:t>
      </w:r>
      <w:r w:rsidR="59C7816C" w:rsidRPr="00806242">
        <w:rPr>
          <w:rFonts w:ascii="Tahoma" w:hAnsi="Tahoma" w:cs="Tahoma"/>
          <w:i/>
          <w:iCs/>
        </w:rPr>
        <w:t>1C</w:t>
      </w:r>
      <w:r w:rsidR="0012470E" w:rsidRPr="00806242">
        <w:rPr>
          <w:rFonts w:ascii="Tahoma" w:hAnsi="Tahoma" w:cs="Tahoma"/>
          <w:i/>
          <w:iCs/>
        </w:rPr>
        <w:t xml:space="preserve"> </w:t>
      </w:r>
      <w:r w:rsidR="0012470E" w:rsidRPr="00806242">
        <w:rPr>
          <w:rFonts w:ascii="Tahoma" w:hAnsi="Tahoma" w:cs="Tahoma"/>
        </w:rPr>
        <w:t>de l’annexe</w:t>
      </w:r>
      <w:r w:rsidR="0012470E" w:rsidRPr="00806242">
        <w:rPr>
          <w:rFonts w:ascii="Tahoma" w:hAnsi="Tahoma" w:cs="Tahoma"/>
          <w:i/>
          <w:iCs/>
        </w:rPr>
        <w:t xml:space="preserve"> Tableau récapitulatif des dépenses</w:t>
      </w:r>
      <w:r w:rsidR="59C7816C" w:rsidRPr="00806242">
        <w:rPr>
          <w:rFonts w:ascii="Tahoma" w:hAnsi="Tahoma" w:cs="Tahoma"/>
        </w:rPr>
        <w:t>]</w:t>
      </w:r>
    </w:p>
    <w:p w14:paraId="45834F2D" w14:textId="551889D8" w:rsidR="0F0F9404" w:rsidRDefault="0F0F9404" w:rsidP="2751DD55">
      <w:pPr>
        <w:spacing w:line="240" w:lineRule="auto"/>
        <w:rPr>
          <w:rFonts w:ascii="Tahoma" w:hAnsi="Tahoma" w:cs="Tahoma"/>
          <w:u w:val="single"/>
        </w:rPr>
      </w:pPr>
      <w:r w:rsidRPr="2751DD55">
        <w:rPr>
          <w:rFonts w:ascii="Tahoma" w:hAnsi="Tahoma" w:cs="Tahoma"/>
          <w:u w:val="single"/>
        </w:rPr>
        <w:t xml:space="preserve"> </w:t>
      </w:r>
    </w:p>
    <w:p w14:paraId="54FE32AF" w14:textId="615F1624" w:rsidR="000416E6" w:rsidRPr="00094AAC" w:rsidRDefault="000416E6" w:rsidP="000416E6">
      <w:pPr>
        <w:spacing w:line="240" w:lineRule="auto"/>
        <w:rPr>
          <w:rFonts w:ascii="Tahoma" w:hAnsi="Tahoma" w:cs="Tahoma"/>
        </w:rPr>
      </w:pPr>
      <w:r w:rsidRPr="627270F3">
        <w:rPr>
          <w:rFonts w:ascii="Tahoma" w:hAnsi="Tahoma" w:cs="Tahoma"/>
          <w:u w:val="single"/>
        </w:rPr>
        <w:t xml:space="preserve">Les frais de communication </w:t>
      </w:r>
      <w:r w:rsidR="5B4B9FE6" w:rsidRPr="627270F3">
        <w:rPr>
          <w:rFonts w:ascii="Tahoma" w:hAnsi="Tahoma" w:cs="Tahoma"/>
          <w:u w:val="single"/>
        </w:rPr>
        <w:t xml:space="preserve">et d’action </w:t>
      </w:r>
      <w:r w:rsidRPr="627270F3">
        <w:rPr>
          <w:rFonts w:ascii="Tahoma" w:hAnsi="Tahoma" w:cs="Tahoma"/>
          <w:u w:val="single"/>
        </w:rPr>
        <w:t xml:space="preserve">admissibles sont : </w:t>
      </w:r>
    </w:p>
    <w:p w14:paraId="36EB5551" w14:textId="7FDF9F5E" w:rsidR="000416E6" w:rsidRPr="00094AAC" w:rsidRDefault="000416E6" w:rsidP="000416E6">
      <w:pPr>
        <w:spacing w:line="240" w:lineRule="auto"/>
        <w:rPr>
          <w:rFonts w:ascii="Tahoma" w:hAnsi="Tahoma" w:cs="Tahoma"/>
        </w:rPr>
      </w:pPr>
      <w:r w:rsidRPr="21CA6CB8">
        <w:rPr>
          <w:rFonts w:ascii="Tahoma" w:hAnsi="Tahoma" w:cs="Tahoma"/>
        </w:rPr>
        <w:t xml:space="preserve">1° l’organisation de </w:t>
      </w:r>
      <w:r w:rsidR="0012470E">
        <w:rPr>
          <w:rFonts w:ascii="Tahoma" w:hAnsi="Tahoma" w:cs="Tahoma"/>
        </w:rPr>
        <w:t xml:space="preserve">réunions, de </w:t>
      </w:r>
      <w:r w:rsidR="57A8B1F0" w:rsidRPr="21CA6CB8">
        <w:rPr>
          <w:rFonts w:ascii="Tahoma" w:hAnsi="Tahoma" w:cs="Tahoma"/>
        </w:rPr>
        <w:t>séminaires</w:t>
      </w:r>
      <w:r w:rsidRPr="21CA6CB8">
        <w:rPr>
          <w:rFonts w:ascii="Tahoma" w:hAnsi="Tahoma" w:cs="Tahoma"/>
        </w:rPr>
        <w:t>, d’événements et de visites</w:t>
      </w:r>
      <w:r w:rsidR="54DB1E97" w:rsidRPr="21CA6CB8">
        <w:rPr>
          <w:rFonts w:ascii="Tahoma" w:hAnsi="Tahoma" w:cs="Tahoma"/>
        </w:rPr>
        <w:t xml:space="preserve"> impliquant des personnes extérieures à l’organisme bénéficiaire</w:t>
      </w:r>
      <w:r w:rsidRPr="21CA6CB8">
        <w:rPr>
          <w:rFonts w:ascii="Tahoma" w:hAnsi="Tahoma" w:cs="Tahoma"/>
        </w:rPr>
        <w:t> ;</w:t>
      </w:r>
    </w:p>
    <w:p w14:paraId="7D34D3EC" w14:textId="77777777" w:rsidR="000416E6" w:rsidRPr="00094AAC" w:rsidRDefault="000416E6" w:rsidP="000416E6">
      <w:pPr>
        <w:spacing w:line="240" w:lineRule="auto"/>
        <w:rPr>
          <w:rFonts w:ascii="Tahoma" w:hAnsi="Tahoma" w:cs="Tahoma"/>
        </w:rPr>
      </w:pPr>
      <w:r w:rsidRPr="00094AAC">
        <w:rPr>
          <w:rFonts w:ascii="Tahoma" w:hAnsi="Tahoma" w:cs="Tahoma"/>
        </w:rPr>
        <w:t>2° la participation à des foires et des salons ;</w:t>
      </w:r>
    </w:p>
    <w:p w14:paraId="6EB2FA38" w14:textId="55542C10" w:rsidR="000416E6" w:rsidRPr="00806242" w:rsidRDefault="000416E6" w:rsidP="000416E6">
      <w:pPr>
        <w:spacing w:line="240" w:lineRule="auto"/>
        <w:rPr>
          <w:rFonts w:ascii="Tahoma" w:hAnsi="Tahoma" w:cs="Tahoma"/>
        </w:rPr>
      </w:pPr>
      <w:r w:rsidRPr="00094AAC">
        <w:rPr>
          <w:rFonts w:ascii="Tahoma" w:hAnsi="Tahoma" w:cs="Tahoma"/>
        </w:rPr>
        <w:t xml:space="preserve">3° l’édition de rapports ou de documents de sensibilisation tels que des flyers, des cartons </w:t>
      </w:r>
      <w:r w:rsidRPr="00806242">
        <w:rPr>
          <w:rFonts w:ascii="Tahoma" w:hAnsi="Tahoma" w:cs="Tahoma"/>
        </w:rPr>
        <w:t>d’invitation, des livrets ou des capsules vidéo ;</w:t>
      </w:r>
    </w:p>
    <w:p w14:paraId="51B5BED1" w14:textId="4A7D73DF" w:rsidR="000416E6" w:rsidRPr="00806242" w:rsidRDefault="000416E6" w:rsidP="627270F3">
      <w:pPr>
        <w:spacing w:line="240" w:lineRule="auto"/>
        <w:rPr>
          <w:rFonts w:ascii="Tahoma" w:hAnsi="Tahoma" w:cs="Tahoma"/>
        </w:rPr>
      </w:pPr>
      <w:r w:rsidRPr="00806242">
        <w:rPr>
          <w:rFonts w:ascii="Tahoma" w:hAnsi="Tahoma" w:cs="Tahoma"/>
        </w:rPr>
        <w:t>4° la mise en place d’un site web pour autant qu’il soit prévu dans le projet dès le départ et dans les limites budgétaires fixées</w:t>
      </w:r>
      <w:r w:rsidR="4172D149" w:rsidRPr="00806242">
        <w:rPr>
          <w:rFonts w:ascii="Tahoma" w:hAnsi="Tahoma" w:cs="Tahoma"/>
        </w:rPr>
        <w:t xml:space="preserve"> </w:t>
      </w:r>
      <w:r w:rsidR="4F7F2400" w:rsidRPr="00806242">
        <w:rPr>
          <w:rFonts w:ascii="Tahoma" w:hAnsi="Tahoma" w:cs="Tahoma"/>
        </w:rPr>
        <w:t>;</w:t>
      </w:r>
    </w:p>
    <w:p w14:paraId="63362F5A" w14:textId="4C79E38A" w:rsidR="000416E6" w:rsidRPr="00806242" w:rsidRDefault="213F873F" w:rsidP="000416E6">
      <w:pPr>
        <w:spacing w:line="240" w:lineRule="auto"/>
        <w:rPr>
          <w:rFonts w:ascii="Tahoma" w:hAnsi="Tahoma" w:cs="Tahoma"/>
        </w:rPr>
      </w:pPr>
      <w:r w:rsidRPr="00806242">
        <w:rPr>
          <w:rFonts w:ascii="Tahoma" w:hAnsi="Tahoma" w:cs="Tahoma"/>
        </w:rPr>
        <w:t xml:space="preserve">5° </w:t>
      </w:r>
      <w:r w:rsidR="163A4768" w:rsidRPr="00806242">
        <w:rPr>
          <w:rFonts w:ascii="Tahoma" w:hAnsi="Tahoma" w:cs="Tahoma"/>
        </w:rPr>
        <w:t>toute autre action spécifique à l</w:t>
      </w:r>
      <w:r w:rsidR="60898204" w:rsidRPr="00806242">
        <w:rPr>
          <w:rFonts w:ascii="Tahoma" w:hAnsi="Tahoma" w:cs="Tahoma"/>
        </w:rPr>
        <w:t>’objet de la subvention</w:t>
      </w:r>
      <w:r w:rsidR="6035AB0A" w:rsidRPr="00806242">
        <w:rPr>
          <w:rFonts w:ascii="Tahoma" w:hAnsi="Tahoma" w:cs="Tahoma"/>
        </w:rPr>
        <w:t xml:space="preserve"> et reprise dans le plan d’actions</w:t>
      </w:r>
      <w:r w:rsidR="16B74657" w:rsidRPr="00806242">
        <w:rPr>
          <w:rFonts w:ascii="Tahoma" w:hAnsi="Tahoma" w:cs="Tahoma"/>
        </w:rPr>
        <w:t>.</w:t>
      </w:r>
    </w:p>
    <w:p w14:paraId="30C37706" w14:textId="77777777" w:rsidR="000416E6" w:rsidRPr="00806242" w:rsidRDefault="000416E6" w:rsidP="000416E6">
      <w:pPr>
        <w:spacing w:line="240" w:lineRule="auto"/>
        <w:rPr>
          <w:rFonts w:ascii="Tahoma" w:hAnsi="Tahoma" w:cs="Tahoma"/>
        </w:rPr>
      </w:pPr>
    </w:p>
    <w:p w14:paraId="55B9E729" w14:textId="77777777" w:rsidR="000416E6" w:rsidRPr="00806242" w:rsidRDefault="000416E6" w:rsidP="000416E6">
      <w:pPr>
        <w:spacing w:line="240" w:lineRule="auto"/>
        <w:rPr>
          <w:rFonts w:ascii="Tahoma" w:hAnsi="Tahoma" w:cs="Tahoma"/>
        </w:rPr>
      </w:pPr>
      <w:r w:rsidRPr="00806242">
        <w:rPr>
          <w:rFonts w:ascii="Tahoma" w:hAnsi="Tahoma" w:cs="Tahoma"/>
        </w:rPr>
        <w:t>En ce qui concerne les frais liés aux réunions, événements, visites, foires et salons visés sous le présent point à l’alinéa 1</w:t>
      </w:r>
      <w:r w:rsidRPr="00806242">
        <w:rPr>
          <w:rFonts w:ascii="Tahoma" w:hAnsi="Tahoma" w:cs="Tahoma"/>
          <w:vertAlign w:val="superscript"/>
        </w:rPr>
        <w:t>er</w:t>
      </w:r>
      <w:r w:rsidRPr="00806242">
        <w:rPr>
          <w:rFonts w:ascii="Tahoma" w:hAnsi="Tahoma" w:cs="Tahoma"/>
        </w:rPr>
        <w:t>, 1° et 2°, il convient de joindre :</w:t>
      </w:r>
    </w:p>
    <w:p w14:paraId="57E602C2" w14:textId="77777777" w:rsidR="000416E6" w:rsidRPr="00806242" w:rsidRDefault="000416E6" w:rsidP="000416E6">
      <w:pPr>
        <w:spacing w:line="240" w:lineRule="auto"/>
        <w:rPr>
          <w:rFonts w:ascii="Tahoma" w:hAnsi="Tahoma" w:cs="Tahoma"/>
        </w:rPr>
      </w:pPr>
      <w:r w:rsidRPr="00806242">
        <w:rPr>
          <w:rFonts w:ascii="Tahoma" w:hAnsi="Tahoma" w:cs="Tahoma"/>
        </w:rPr>
        <w:t>1° l’invitation quel qu’en soit le support en ce compris les courriels, pages web, ou cartons ;</w:t>
      </w:r>
    </w:p>
    <w:p w14:paraId="2E04B7C6" w14:textId="77777777" w:rsidR="000416E6" w:rsidRPr="00806242" w:rsidRDefault="000416E6" w:rsidP="000416E6">
      <w:pPr>
        <w:spacing w:line="240" w:lineRule="auto"/>
        <w:rPr>
          <w:rFonts w:ascii="Tahoma" w:hAnsi="Tahoma" w:cs="Tahoma"/>
        </w:rPr>
      </w:pPr>
      <w:r w:rsidRPr="00806242">
        <w:rPr>
          <w:rFonts w:ascii="Tahoma" w:hAnsi="Tahoma" w:cs="Tahoma"/>
        </w:rPr>
        <w:t>2° l’ordre du jour ou le programme ;</w:t>
      </w:r>
    </w:p>
    <w:p w14:paraId="060B04F8" w14:textId="77777777" w:rsidR="000416E6" w:rsidRPr="00806242" w:rsidRDefault="000416E6" w:rsidP="000416E6">
      <w:pPr>
        <w:spacing w:line="240" w:lineRule="auto"/>
        <w:rPr>
          <w:rFonts w:ascii="Tahoma" w:hAnsi="Tahoma" w:cs="Tahoma"/>
        </w:rPr>
      </w:pPr>
      <w:r w:rsidRPr="00806242">
        <w:rPr>
          <w:rFonts w:ascii="Tahoma" w:hAnsi="Tahoma" w:cs="Tahoma"/>
        </w:rPr>
        <w:t>3° la liste exhaustive des participants du bénéficiaire ;</w:t>
      </w:r>
    </w:p>
    <w:p w14:paraId="6FCA4FFE" w14:textId="77777777" w:rsidR="000416E6" w:rsidRPr="00806242" w:rsidRDefault="000416E6" w:rsidP="000416E6">
      <w:pPr>
        <w:spacing w:line="240" w:lineRule="auto"/>
        <w:rPr>
          <w:rFonts w:ascii="Tahoma" w:hAnsi="Tahoma" w:cs="Tahoma"/>
        </w:rPr>
      </w:pPr>
      <w:r w:rsidRPr="00806242">
        <w:rPr>
          <w:rFonts w:ascii="Tahoma" w:hAnsi="Tahoma" w:cs="Tahoma"/>
        </w:rPr>
        <w:t>4° les factures des prestataires telles que la location de salle, le catering, la sonorisation ou la location de bus.</w:t>
      </w:r>
    </w:p>
    <w:p w14:paraId="3F6BC26D" w14:textId="77777777" w:rsidR="000416E6" w:rsidRPr="00806242" w:rsidRDefault="000416E6" w:rsidP="000416E6">
      <w:pPr>
        <w:spacing w:line="240" w:lineRule="auto"/>
        <w:rPr>
          <w:rFonts w:ascii="Tahoma" w:hAnsi="Tahoma" w:cs="Tahoma"/>
        </w:rPr>
      </w:pPr>
    </w:p>
    <w:p w14:paraId="240EB2E1" w14:textId="77777777" w:rsidR="000416E6" w:rsidRPr="00806242" w:rsidRDefault="000416E6" w:rsidP="000416E6">
      <w:pPr>
        <w:spacing w:line="240" w:lineRule="auto"/>
        <w:rPr>
          <w:rFonts w:ascii="Tahoma" w:hAnsi="Tahoma" w:cs="Tahoma"/>
        </w:rPr>
      </w:pPr>
      <w:r w:rsidRPr="00806242">
        <w:rPr>
          <w:rFonts w:ascii="Tahoma" w:hAnsi="Tahoma" w:cs="Tahoma"/>
        </w:rPr>
        <w:t>Dans ce cadre, les frais d’organisation de réunions et les notes de restaurant sont éligibles pour autant qu’au minimum la moitié des participants soient extérieurs à la structure bénéficiaire de la subvention.</w:t>
      </w:r>
    </w:p>
    <w:p w14:paraId="62F12F10" w14:textId="64E97BE5" w:rsidR="000416E6" w:rsidRPr="00806242" w:rsidRDefault="000416E6" w:rsidP="000416E6">
      <w:pPr>
        <w:spacing w:after="160" w:line="240" w:lineRule="auto"/>
        <w:jc w:val="left"/>
        <w:rPr>
          <w:rFonts w:ascii="Tahoma" w:hAnsi="Tahoma" w:cs="Tahoma"/>
        </w:rPr>
      </w:pPr>
    </w:p>
    <w:p w14:paraId="59A76409" w14:textId="77777777" w:rsidR="000416E6" w:rsidRPr="00806242" w:rsidRDefault="000416E6" w:rsidP="000416E6">
      <w:pPr>
        <w:pStyle w:val="Paragraphedeliste"/>
        <w:numPr>
          <w:ilvl w:val="0"/>
          <w:numId w:val="2"/>
        </w:numPr>
        <w:spacing w:line="240" w:lineRule="auto"/>
        <w:contextualSpacing w:val="0"/>
        <w:rPr>
          <w:rFonts w:ascii="Tahoma" w:hAnsi="Tahoma" w:cs="Tahoma"/>
          <w:b/>
        </w:rPr>
      </w:pPr>
      <w:r w:rsidRPr="00806242">
        <w:rPr>
          <w:rFonts w:ascii="Tahoma" w:hAnsi="Tahoma" w:cs="Tahoma"/>
          <w:b/>
        </w:rPr>
        <w:t>Frais de mission pour les déplacements et les hébergements</w:t>
      </w:r>
    </w:p>
    <w:p w14:paraId="05B58457" w14:textId="77777777" w:rsidR="000416E6" w:rsidRPr="00806242" w:rsidRDefault="000416E6" w:rsidP="000416E6">
      <w:pPr>
        <w:spacing w:line="240" w:lineRule="auto"/>
        <w:rPr>
          <w:rFonts w:ascii="Tahoma" w:hAnsi="Tahoma" w:cs="Tahoma"/>
          <w:u w:val="single"/>
        </w:rPr>
      </w:pPr>
    </w:p>
    <w:p w14:paraId="1FA2B3A2" w14:textId="77777777" w:rsidR="000416E6" w:rsidRPr="00806242" w:rsidRDefault="000416E6" w:rsidP="000416E6">
      <w:pPr>
        <w:pStyle w:val="Default"/>
        <w:jc w:val="both"/>
        <w:rPr>
          <w:rFonts w:ascii="Tahoma" w:hAnsi="Tahoma" w:cs="Tahoma"/>
          <w:i/>
          <w:sz w:val="22"/>
          <w:szCs w:val="22"/>
        </w:rPr>
      </w:pPr>
      <w:r w:rsidRPr="00806242">
        <w:rPr>
          <w:rFonts w:ascii="Tahoma" w:hAnsi="Tahoma" w:cs="Tahoma"/>
          <w:i/>
          <w:sz w:val="22"/>
          <w:szCs w:val="22"/>
        </w:rPr>
        <w:t>Principes généraux</w:t>
      </w:r>
    </w:p>
    <w:p w14:paraId="3FD1FFE7" w14:textId="77777777" w:rsidR="000416E6" w:rsidRPr="00806242" w:rsidRDefault="000416E6" w:rsidP="000416E6">
      <w:pPr>
        <w:pStyle w:val="Default"/>
        <w:jc w:val="both"/>
        <w:rPr>
          <w:rFonts w:ascii="Tahoma" w:hAnsi="Tahoma" w:cs="Tahoma"/>
          <w:sz w:val="22"/>
          <w:szCs w:val="22"/>
        </w:rPr>
      </w:pPr>
    </w:p>
    <w:p w14:paraId="3C9B8E02" w14:textId="590EEFDE" w:rsidR="000D5C63" w:rsidRPr="00806242" w:rsidRDefault="705D08D2" w:rsidP="000416E6">
      <w:pPr>
        <w:pStyle w:val="Default"/>
        <w:jc w:val="both"/>
        <w:rPr>
          <w:rFonts w:ascii="Tahoma" w:hAnsi="Tahoma" w:cs="Tahoma"/>
          <w:sz w:val="22"/>
          <w:szCs w:val="22"/>
        </w:rPr>
      </w:pPr>
      <w:r w:rsidRPr="00806242">
        <w:rPr>
          <w:rFonts w:ascii="Tahoma" w:hAnsi="Tahoma" w:cs="Tahoma"/>
          <w:sz w:val="22"/>
          <w:szCs w:val="22"/>
        </w:rPr>
        <w:t xml:space="preserve">Les frais de mission pour les déplacements et hébergements sont </w:t>
      </w:r>
      <w:r w:rsidR="679987D7" w:rsidRPr="00806242">
        <w:rPr>
          <w:rFonts w:ascii="Tahoma" w:hAnsi="Tahoma" w:cs="Tahoma"/>
          <w:sz w:val="22"/>
          <w:szCs w:val="22"/>
        </w:rPr>
        <w:t xml:space="preserve">éligibles pour les salariés uniquement. </w:t>
      </w:r>
      <w:r w:rsidR="1180E1A0" w:rsidRPr="00806242">
        <w:rPr>
          <w:rFonts w:ascii="Tahoma" w:hAnsi="Tahoma" w:cs="Tahoma"/>
          <w:sz w:val="22"/>
          <w:szCs w:val="22"/>
        </w:rPr>
        <w:t>Ils peuvent être octroyés au</w:t>
      </w:r>
      <w:r w:rsidR="220ADA97" w:rsidRPr="00806242">
        <w:rPr>
          <w:rFonts w:ascii="Tahoma" w:hAnsi="Tahoma" w:cs="Tahoma"/>
          <w:sz w:val="22"/>
          <w:szCs w:val="22"/>
        </w:rPr>
        <w:t xml:space="preserve"> personnel externe de manière exceptionnelle pour des missions spécifiques</w:t>
      </w:r>
      <w:r w:rsidR="00C74A54" w:rsidRPr="00806242">
        <w:rPr>
          <w:rFonts w:ascii="Tahoma" w:hAnsi="Tahoma" w:cs="Tahoma"/>
          <w:sz w:val="22"/>
          <w:szCs w:val="22"/>
        </w:rPr>
        <w:t xml:space="preserve"> à l’</w:t>
      </w:r>
      <w:r w:rsidR="0018643D" w:rsidRPr="00806242">
        <w:rPr>
          <w:rFonts w:ascii="Tahoma" w:hAnsi="Tahoma" w:cs="Tahoma"/>
          <w:sz w:val="22"/>
          <w:szCs w:val="22"/>
        </w:rPr>
        <w:t>étranger</w:t>
      </w:r>
      <w:r w:rsidR="220ADA97" w:rsidRPr="00806242">
        <w:rPr>
          <w:rFonts w:ascii="Tahoma" w:hAnsi="Tahoma" w:cs="Tahoma"/>
          <w:sz w:val="22"/>
          <w:szCs w:val="22"/>
        </w:rPr>
        <w:t>, sur demande préalable</w:t>
      </w:r>
      <w:r w:rsidR="627B3FD6" w:rsidRPr="00806242">
        <w:rPr>
          <w:rFonts w:ascii="Tahoma" w:hAnsi="Tahoma" w:cs="Tahoma"/>
          <w:sz w:val="22"/>
          <w:szCs w:val="22"/>
        </w:rPr>
        <w:t xml:space="preserve"> et motivée</w:t>
      </w:r>
      <w:r w:rsidR="220ADA97" w:rsidRPr="00806242">
        <w:rPr>
          <w:rFonts w:ascii="Tahoma" w:hAnsi="Tahoma" w:cs="Tahoma"/>
          <w:sz w:val="22"/>
          <w:szCs w:val="22"/>
        </w:rPr>
        <w:t>.</w:t>
      </w:r>
    </w:p>
    <w:p w14:paraId="1E735C6E" w14:textId="77777777" w:rsidR="000D5C63" w:rsidRPr="00806242" w:rsidRDefault="000D5C63" w:rsidP="000416E6">
      <w:pPr>
        <w:pStyle w:val="Default"/>
        <w:jc w:val="both"/>
        <w:rPr>
          <w:rFonts w:ascii="Tahoma" w:hAnsi="Tahoma" w:cs="Tahoma"/>
          <w:sz w:val="22"/>
          <w:szCs w:val="22"/>
        </w:rPr>
      </w:pPr>
    </w:p>
    <w:p w14:paraId="765327A4" w14:textId="1E54F72F" w:rsidR="000416E6" w:rsidRPr="00094AAC" w:rsidRDefault="000416E6" w:rsidP="000416E6">
      <w:pPr>
        <w:pStyle w:val="Default"/>
        <w:jc w:val="both"/>
        <w:rPr>
          <w:rFonts w:ascii="Tahoma" w:hAnsi="Tahoma" w:cs="Tahoma"/>
          <w:sz w:val="22"/>
          <w:szCs w:val="22"/>
        </w:rPr>
      </w:pPr>
      <w:r w:rsidRPr="00806242">
        <w:rPr>
          <w:rFonts w:ascii="Tahoma" w:hAnsi="Tahoma" w:cs="Tahoma"/>
          <w:sz w:val="22"/>
          <w:szCs w:val="22"/>
        </w:rPr>
        <w:t>Il convient de sélectionner les modes de transport et lieux d’hébergement de manière responsable et efficace, par souci de bonne gestion de l’argent public.</w:t>
      </w:r>
    </w:p>
    <w:p w14:paraId="6F24BFE7" w14:textId="77777777" w:rsidR="000416E6" w:rsidRPr="00094AAC" w:rsidRDefault="000416E6" w:rsidP="000416E6">
      <w:pPr>
        <w:pStyle w:val="Default"/>
        <w:jc w:val="both"/>
        <w:rPr>
          <w:rFonts w:ascii="Tahoma" w:hAnsi="Tahoma" w:cs="Tahoma"/>
          <w:sz w:val="22"/>
          <w:szCs w:val="22"/>
        </w:rPr>
      </w:pPr>
      <w:r w:rsidRPr="3620BE8D">
        <w:rPr>
          <w:rFonts w:ascii="Tahoma" w:hAnsi="Tahoma" w:cs="Tahoma"/>
          <w:sz w:val="22"/>
          <w:szCs w:val="22"/>
        </w:rPr>
        <w:t>Les indemnités journalières ne sont pas éligibles.</w:t>
      </w:r>
    </w:p>
    <w:p w14:paraId="6FE2EE89" w14:textId="77777777" w:rsidR="000416E6" w:rsidRPr="00094AAC" w:rsidRDefault="000416E6" w:rsidP="000416E6">
      <w:pPr>
        <w:pStyle w:val="Default"/>
        <w:jc w:val="both"/>
        <w:rPr>
          <w:rFonts w:ascii="Tahoma" w:hAnsi="Tahoma" w:cs="Tahoma"/>
          <w:sz w:val="22"/>
          <w:szCs w:val="22"/>
        </w:rPr>
      </w:pPr>
    </w:p>
    <w:p w14:paraId="6FE5F414" w14:textId="77777777" w:rsidR="000416E6" w:rsidRPr="00094AAC" w:rsidRDefault="000416E6" w:rsidP="000416E6">
      <w:pPr>
        <w:pStyle w:val="Default"/>
        <w:jc w:val="both"/>
        <w:rPr>
          <w:rFonts w:ascii="Tahoma" w:hAnsi="Tahoma" w:cs="Tahoma"/>
          <w:i/>
          <w:iCs/>
          <w:sz w:val="22"/>
          <w:szCs w:val="22"/>
        </w:rPr>
      </w:pPr>
      <w:r w:rsidRPr="3620BE8D">
        <w:rPr>
          <w:rFonts w:ascii="Tahoma" w:hAnsi="Tahoma" w:cs="Tahoma"/>
          <w:i/>
          <w:iCs/>
          <w:sz w:val="22"/>
          <w:szCs w:val="22"/>
        </w:rPr>
        <w:t>Règles concernant les frais de déplacement</w:t>
      </w:r>
    </w:p>
    <w:p w14:paraId="63D19C46" w14:textId="77777777" w:rsidR="000416E6" w:rsidRPr="00094AAC" w:rsidRDefault="000416E6" w:rsidP="000416E6">
      <w:pPr>
        <w:pStyle w:val="Default"/>
        <w:jc w:val="both"/>
        <w:rPr>
          <w:rFonts w:ascii="Tahoma" w:hAnsi="Tahoma" w:cs="Tahoma"/>
          <w:sz w:val="22"/>
          <w:szCs w:val="22"/>
        </w:rPr>
      </w:pPr>
    </w:p>
    <w:p w14:paraId="7B6510C1" w14:textId="07F4A712" w:rsidR="000416E6" w:rsidRPr="00806242" w:rsidRDefault="16B74657" w:rsidP="000416E6">
      <w:pPr>
        <w:pStyle w:val="Default"/>
        <w:jc w:val="both"/>
        <w:rPr>
          <w:rFonts w:ascii="Tahoma" w:hAnsi="Tahoma" w:cs="Tahoma"/>
          <w:sz w:val="22"/>
          <w:szCs w:val="22"/>
        </w:rPr>
      </w:pPr>
      <w:r w:rsidRPr="1612D95A">
        <w:rPr>
          <w:rFonts w:ascii="Tahoma" w:hAnsi="Tahoma" w:cs="Tahoma"/>
          <w:sz w:val="22"/>
          <w:szCs w:val="22"/>
        </w:rPr>
        <w:t xml:space="preserve">Les frais de déplacement sont les frais encourus pour se rendre sur le lieu d’un événement lié au projet tels que les réunions, séminaires ou évènement et en ce compris les éventuels frais </w:t>
      </w:r>
      <w:r w:rsidRPr="00806242">
        <w:rPr>
          <w:rFonts w:ascii="Tahoma" w:hAnsi="Tahoma" w:cs="Tahoma"/>
          <w:sz w:val="22"/>
          <w:szCs w:val="22"/>
        </w:rPr>
        <w:t>d’inscription. Ils sont justifiés sur base des frais réels ; il convient de conserver les tickets de transport et d’établir des demandes de remboursement des frais kilométriques.</w:t>
      </w:r>
      <w:r w:rsidR="4D4E317D" w:rsidRPr="00806242">
        <w:rPr>
          <w:rFonts w:ascii="Tahoma" w:hAnsi="Tahoma" w:cs="Tahoma"/>
          <w:sz w:val="22"/>
          <w:szCs w:val="22"/>
        </w:rPr>
        <w:t xml:space="preserve"> Les frais de </w:t>
      </w:r>
      <w:r w:rsidR="4D4E317D" w:rsidRPr="00806242">
        <w:rPr>
          <w:rFonts w:ascii="Tahoma" w:hAnsi="Tahoma" w:cs="Tahoma"/>
          <w:sz w:val="22"/>
          <w:szCs w:val="22"/>
        </w:rPr>
        <w:lastRenderedPageBreak/>
        <w:t xml:space="preserve">déplacement ne sont pas éligibles pour des déplacements </w:t>
      </w:r>
      <w:r w:rsidR="5CC37C6D" w:rsidRPr="00806242">
        <w:rPr>
          <w:rFonts w:ascii="Tahoma" w:hAnsi="Tahoma" w:cs="Tahoma"/>
          <w:sz w:val="22"/>
          <w:szCs w:val="22"/>
        </w:rPr>
        <w:t>d’une distance inférieure à</w:t>
      </w:r>
      <w:r w:rsidR="14F86376" w:rsidRPr="00806242">
        <w:rPr>
          <w:rFonts w:ascii="Tahoma" w:hAnsi="Tahoma" w:cs="Tahoma"/>
          <w:sz w:val="22"/>
          <w:szCs w:val="22"/>
        </w:rPr>
        <w:t xml:space="preserve"> </w:t>
      </w:r>
      <w:r w:rsidR="043046EB" w:rsidRPr="00806242">
        <w:rPr>
          <w:rFonts w:ascii="Tahoma" w:hAnsi="Tahoma" w:cs="Tahoma"/>
          <w:sz w:val="22"/>
          <w:szCs w:val="22"/>
        </w:rPr>
        <w:t>10</w:t>
      </w:r>
      <w:r w:rsidR="14F86376" w:rsidRPr="00806242">
        <w:rPr>
          <w:rFonts w:ascii="Tahoma" w:hAnsi="Tahoma" w:cs="Tahoma"/>
          <w:sz w:val="22"/>
          <w:szCs w:val="22"/>
        </w:rPr>
        <w:t xml:space="preserve"> kilomètres</w:t>
      </w:r>
      <w:r w:rsidR="4D4E317D" w:rsidRPr="00806242">
        <w:rPr>
          <w:rFonts w:ascii="Tahoma" w:hAnsi="Tahoma" w:cs="Tahoma"/>
          <w:sz w:val="22"/>
          <w:szCs w:val="22"/>
        </w:rPr>
        <w:t>.</w:t>
      </w:r>
    </w:p>
    <w:p w14:paraId="6F40A875" w14:textId="77777777" w:rsidR="000416E6" w:rsidRPr="00806242" w:rsidRDefault="000416E6" w:rsidP="000416E6">
      <w:pPr>
        <w:pStyle w:val="Default"/>
        <w:jc w:val="both"/>
        <w:rPr>
          <w:rFonts w:ascii="Tahoma" w:hAnsi="Tahoma" w:cs="Tahoma"/>
          <w:sz w:val="22"/>
          <w:szCs w:val="22"/>
        </w:rPr>
      </w:pPr>
    </w:p>
    <w:p w14:paraId="1E8B8385" w14:textId="49A7EC4B" w:rsidR="000416E6" w:rsidRPr="00806242" w:rsidRDefault="000416E6" w:rsidP="000416E6">
      <w:pPr>
        <w:pStyle w:val="Default"/>
        <w:jc w:val="both"/>
        <w:rPr>
          <w:rFonts w:ascii="Tahoma" w:hAnsi="Tahoma" w:cs="Tahoma"/>
          <w:sz w:val="22"/>
          <w:szCs w:val="22"/>
        </w:rPr>
      </w:pPr>
      <w:r w:rsidRPr="00806242">
        <w:rPr>
          <w:rFonts w:ascii="Tahoma" w:hAnsi="Tahoma" w:cs="Tahoma"/>
          <w:sz w:val="22"/>
          <w:szCs w:val="22"/>
        </w:rPr>
        <w:t>Pour les déplacements en</w:t>
      </w:r>
      <w:r w:rsidRPr="00806242">
        <w:rPr>
          <w:rFonts w:ascii="Tahoma" w:hAnsi="Tahoma" w:cs="Tahoma"/>
          <w:b/>
          <w:bCs/>
          <w:sz w:val="22"/>
          <w:szCs w:val="22"/>
        </w:rPr>
        <w:t xml:space="preserve"> voiture</w:t>
      </w:r>
      <w:r w:rsidRPr="00806242">
        <w:rPr>
          <w:rFonts w:ascii="Tahoma" w:hAnsi="Tahoma" w:cs="Tahoma"/>
          <w:sz w:val="22"/>
          <w:szCs w:val="22"/>
        </w:rPr>
        <w:t xml:space="preserve">, les dépenses éligibles comprennent une indemnité kilométrique, calculée sur base du nombre de kilomètres parcourus multipliés par le barème en vigueur au SPW, augmentée des frais des péages et parkings éventuels. Dans ce cadre, c’est la distance depuis le point de départ de la personne - soit son domicile, son lieu de travail ou le lieu de la mission précédente - et le lieu de mission qui est pris en compte. </w:t>
      </w:r>
    </w:p>
    <w:p w14:paraId="69415843" w14:textId="77777777" w:rsidR="000416E6" w:rsidRPr="00806242" w:rsidRDefault="000416E6" w:rsidP="000416E6">
      <w:pPr>
        <w:pStyle w:val="Default"/>
        <w:jc w:val="both"/>
        <w:rPr>
          <w:rFonts w:ascii="Tahoma" w:hAnsi="Tahoma" w:cs="Tahoma"/>
          <w:sz w:val="22"/>
          <w:szCs w:val="22"/>
        </w:rPr>
      </w:pPr>
    </w:p>
    <w:p w14:paraId="0AE3DF1B" w14:textId="77777777" w:rsidR="000416E6" w:rsidRPr="00806242" w:rsidRDefault="000416E6" w:rsidP="000416E6">
      <w:pPr>
        <w:pStyle w:val="Default"/>
        <w:jc w:val="both"/>
        <w:rPr>
          <w:rFonts w:ascii="Tahoma" w:hAnsi="Tahoma" w:cs="Tahoma"/>
          <w:sz w:val="22"/>
          <w:szCs w:val="22"/>
        </w:rPr>
      </w:pPr>
      <w:r w:rsidRPr="00806242">
        <w:rPr>
          <w:rFonts w:ascii="Tahoma" w:hAnsi="Tahoma" w:cs="Tahoma"/>
          <w:sz w:val="22"/>
          <w:szCs w:val="22"/>
        </w:rPr>
        <w:t>Les frais de déplacement entre le domicile et le lieu de travail ne sont pas éligibles.</w:t>
      </w:r>
    </w:p>
    <w:p w14:paraId="62F2BD56" w14:textId="77777777" w:rsidR="000416E6" w:rsidRPr="00806242" w:rsidRDefault="000416E6" w:rsidP="000416E6">
      <w:pPr>
        <w:pStyle w:val="Default"/>
        <w:jc w:val="both"/>
        <w:rPr>
          <w:rFonts w:ascii="Tahoma" w:hAnsi="Tahoma" w:cs="Tahoma"/>
          <w:sz w:val="22"/>
          <w:szCs w:val="22"/>
        </w:rPr>
      </w:pPr>
    </w:p>
    <w:p w14:paraId="155684BB" w14:textId="77777777" w:rsidR="000416E6" w:rsidRPr="00806242" w:rsidRDefault="000416E6" w:rsidP="000416E6">
      <w:pPr>
        <w:pStyle w:val="Default"/>
        <w:jc w:val="both"/>
        <w:rPr>
          <w:rFonts w:ascii="Tahoma" w:hAnsi="Tahoma" w:cs="Tahoma"/>
          <w:sz w:val="22"/>
          <w:szCs w:val="22"/>
        </w:rPr>
      </w:pPr>
      <w:r w:rsidRPr="00806242">
        <w:rPr>
          <w:rFonts w:ascii="Tahoma" w:hAnsi="Tahoma" w:cs="Tahoma"/>
          <w:sz w:val="22"/>
          <w:szCs w:val="22"/>
        </w:rPr>
        <w:t>Pour les déplacements en</w:t>
      </w:r>
      <w:r w:rsidRPr="00806242">
        <w:rPr>
          <w:rFonts w:ascii="Tahoma" w:hAnsi="Tahoma" w:cs="Tahoma"/>
          <w:b/>
          <w:bCs/>
          <w:sz w:val="22"/>
          <w:szCs w:val="22"/>
        </w:rPr>
        <w:t xml:space="preserve"> train</w:t>
      </w:r>
      <w:r w:rsidRPr="00806242">
        <w:rPr>
          <w:rFonts w:ascii="Tahoma" w:hAnsi="Tahoma" w:cs="Tahoma"/>
          <w:sz w:val="22"/>
          <w:szCs w:val="22"/>
        </w:rPr>
        <w:t>, en Belgique, les dépenses sont éligibles sur base du prix d’un billet en 2</w:t>
      </w:r>
      <w:r w:rsidRPr="00806242">
        <w:rPr>
          <w:rFonts w:ascii="Tahoma" w:hAnsi="Tahoma" w:cs="Tahoma"/>
          <w:sz w:val="22"/>
          <w:szCs w:val="22"/>
          <w:vertAlign w:val="superscript"/>
        </w:rPr>
        <w:t>e</w:t>
      </w:r>
      <w:r w:rsidRPr="00806242">
        <w:rPr>
          <w:rFonts w:ascii="Tahoma" w:hAnsi="Tahoma" w:cs="Tahoma"/>
          <w:sz w:val="22"/>
          <w:szCs w:val="22"/>
        </w:rPr>
        <w:t xml:space="preserve"> classe.</w:t>
      </w:r>
    </w:p>
    <w:p w14:paraId="332EB068" w14:textId="77777777" w:rsidR="000416E6" w:rsidRPr="00806242" w:rsidRDefault="000416E6" w:rsidP="000416E6">
      <w:pPr>
        <w:pStyle w:val="Default"/>
        <w:jc w:val="both"/>
        <w:rPr>
          <w:rFonts w:ascii="Tahoma" w:hAnsi="Tahoma" w:cs="Tahoma"/>
          <w:sz w:val="22"/>
          <w:szCs w:val="22"/>
        </w:rPr>
      </w:pPr>
    </w:p>
    <w:p w14:paraId="213261A5" w14:textId="77777777" w:rsidR="000416E6" w:rsidRPr="00806242" w:rsidRDefault="000416E6" w:rsidP="000416E6">
      <w:pPr>
        <w:pStyle w:val="Default"/>
        <w:jc w:val="both"/>
        <w:rPr>
          <w:rFonts w:ascii="Tahoma" w:hAnsi="Tahoma" w:cs="Tahoma"/>
          <w:sz w:val="22"/>
          <w:szCs w:val="22"/>
        </w:rPr>
      </w:pPr>
      <w:r w:rsidRPr="00806242">
        <w:rPr>
          <w:rFonts w:ascii="Tahoma" w:hAnsi="Tahoma" w:cs="Tahoma"/>
          <w:sz w:val="22"/>
          <w:szCs w:val="22"/>
        </w:rPr>
        <w:t>Pour les déplacements en</w:t>
      </w:r>
      <w:r w:rsidRPr="00806242">
        <w:rPr>
          <w:rFonts w:ascii="Tahoma" w:hAnsi="Tahoma" w:cs="Tahoma"/>
          <w:b/>
          <w:bCs/>
          <w:sz w:val="22"/>
          <w:szCs w:val="22"/>
        </w:rPr>
        <w:t xml:space="preserve"> avion</w:t>
      </w:r>
      <w:r w:rsidRPr="00806242">
        <w:rPr>
          <w:rFonts w:ascii="Tahoma" w:hAnsi="Tahoma" w:cs="Tahoma"/>
          <w:sz w:val="22"/>
          <w:szCs w:val="22"/>
        </w:rPr>
        <w:t xml:space="preserve">, les dépenses sont éligibles sur base du prix d’un billet en classe économique. </w:t>
      </w:r>
    </w:p>
    <w:p w14:paraId="24D8C4F2" w14:textId="77777777" w:rsidR="000416E6" w:rsidRPr="00806242" w:rsidRDefault="000416E6" w:rsidP="000416E6">
      <w:pPr>
        <w:pStyle w:val="Default"/>
        <w:jc w:val="both"/>
        <w:rPr>
          <w:rFonts w:ascii="Tahoma" w:hAnsi="Tahoma" w:cs="Tahoma"/>
          <w:sz w:val="22"/>
          <w:szCs w:val="22"/>
        </w:rPr>
      </w:pPr>
    </w:p>
    <w:p w14:paraId="2B082EC3" w14:textId="77777777" w:rsidR="000416E6" w:rsidRPr="00806242" w:rsidRDefault="000416E6" w:rsidP="000416E6">
      <w:pPr>
        <w:pStyle w:val="Default"/>
        <w:jc w:val="both"/>
        <w:rPr>
          <w:rFonts w:ascii="Tahoma" w:hAnsi="Tahoma" w:cs="Tahoma"/>
          <w:sz w:val="22"/>
          <w:szCs w:val="22"/>
        </w:rPr>
      </w:pPr>
      <w:r w:rsidRPr="00806242">
        <w:rPr>
          <w:rFonts w:ascii="Tahoma" w:hAnsi="Tahoma" w:cs="Tahoma"/>
          <w:sz w:val="22"/>
          <w:szCs w:val="22"/>
        </w:rPr>
        <w:t>Les frais de déplacement sont justifiés par les pièces suivantes :</w:t>
      </w:r>
    </w:p>
    <w:p w14:paraId="73F6C72D" w14:textId="6CBB9193" w:rsidR="000416E6" w:rsidRPr="00806242" w:rsidRDefault="000416E6" w:rsidP="000416E6">
      <w:pPr>
        <w:pStyle w:val="Default"/>
        <w:jc w:val="both"/>
        <w:rPr>
          <w:rFonts w:ascii="Tahoma" w:hAnsi="Tahoma" w:cs="Tahoma"/>
          <w:sz w:val="22"/>
          <w:szCs w:val="22"/>
        </w:rPr>
      </w:pPr>
      <w:r w:rsidRPr="00806242">
        <w:rPr>
          <w:rFonts w:ascii="Tahoma" w:hAnsi="Tahoma" w:cs="Tahoma"/>
          <w:sz w:val="22"/>
          <w:szCs w:val="22"/>
        </w:rPr>
        <w:t xml:space="preserve">1° </w:t>
      </w:r>
      <w:r w:rsidR="005C05F0" w:rsidRPr="00806242">
        <w:rPr>
          <w:rFonts w:ascii="Tahoma" w:hAnsi="Tahoma" w:cs="Tahoma"/>
          <w:sz w:val="22"/>
          <w:szCs w:val="22"/>
        </w:rPr>
        <w:t xml:space="preserve">objet </w:t>
      </w:r>
      <w:r w:rsidRPr="00806242">
        <w:rPr>
          <w:rFonts w:ascii="Tahoma" w:hAnsi="Tahoma" w:cs="Tahoma"/>
          <w:sz w:val="22"/>
          <w:szCs w:val="22"/>
        </w:rPr>
        <w:t>de la réunion</w:t>
      </w:r>
      <w:r w:rsidR="00302CF1" w:rsidRPr="00806242">
        <w:rPr>
          <w:rFonts w:ascii="Tahoma" w:hAnsi="Tahoma" w:cs="Tahoma"/>
          <w:sz w:val="22"/>
          <w:szCs w:val="22"/>
        </w:rPr>
        <w:t xml:space="preserve"> </w:t>
      </w:r>
      <w:r w:rsidRPr="00806242">
        <w:rPr>
          <w:rFonts w:ascii="Tahoma" w:hAnsi="Tahoma" w:cs="Tahoma"/>
          <w:sz w:val="22"/>
          <w:szCs w:val="22"/>
        </w:rPr>
        <w:t xml:space="preserve">; </w:t>
      </w:r>
    </w:p>
    <w:p w14:paraId="344092B0" w14:textId="13DBA7A8" w:rsidR="000416E6" w:rsidRPr="00094AAC" w:rsidRDefault="000416E6" w:rsidP="000416E6">
      <w:pPr>
        <w:pStyle w:val="Default"/>
        <w:jc w:val="both"/>
        <w:rPr>
          <w:rFonts w:ascii="Tahoma" w:hAnsi="Tahoma" w:cs="Tahoma"/>
          <w:sz w:val="22"/>
          <w:szCs w:val="22"/>
        </w:rPr>
      </w:pPr>
      <w:r w:rsidRPr="00806242">
        <w:rPr>
          <w:rFonts w:ascii="Tahoma" w:hAnsi="Tahoma" w:cs="Tahoma"/>
          <w:sz w:val="22"/>
          <w:szCs w:val="22"/>
        </w:rPr>
        <w:t xml:space="preserve">2° </w:t>
      </w:r>
      <w:r w:rsidR="00AD275D" w:rsidRPr="00806242">
        <w:rPr>
          <w:rFonts w:ascii="Tahoma" w:hAnsi="Tahoma" w:cs="Tahoma"/>
          <w:sz w:val="22"/>
          <w:szCs w:val="22"/>
        </w:rPr>
        <w:t>pièces justificatives (</w:t>
      </w:r>
      <w:r w:rsidRPr="00806242">
        <w:rPr>
          <w:rFonts w:ascii="Tahoma" w:hAnsi="Tahoma" w:cs="Tahoma"/>
          <w:sz w:val="22"/>
          <w:szCs w:val="22"/>
        </w:rPr>
        <w:t>tickets de transport</w:t>
      </w:r>
      <w:r w:rsidR="00AD275D" w:rsidRPr="00806242">
        <w:rPr>
          <w:rFonts w:ascii="Tahoma" w:hAnsi="Tahoma" w:cs="Tahoma"/>
          <w:sz w:val="22"/>
          <w:szCs w:val="22"/>
        </w:rPr>
        <w:t>,</w:t>
      </w:r>
      <w:r w:rsidR="00302CF1" w:rsidRPr="00806242">
        <w:rPr>
          <w:rFonts w:ascii="Tahoma" w:hAnsi="Tahoma" w:cs="Tahoma"/>
          <w:sz w:val="22"/>
          <w:szCs w:val="22"/>
        </w:rPr>
        <w:t xml:space="preserve"> </w:t>
      </w:r>
      <w:r w:rsidRPr="00806242">
        <w:rPr>
          <w:rFonts w:ascii="Tahoma" w:hAnsi="Tahoma" w:cs="Tahoma"/>
          <w:sz w:val="22"/>
          <w:szCs w:val="22"/>
        </w:rPr>
        <w:t>factures</w:t>
      </w:r>
      <w:r w:rsidR="00AD275D" w:rsidRPr="00806242">
        <w:rPr>
          <w:rFonts w:ascii="Tahoma" w:hAnsi="Tahoma" w:cs="Tahoma"/>
          <w:sz w:val="22"/>
          <w:szCs w:val="22"/>
        </w:rPr>
        <w:t>,</w:t>
      </w:r>
      <w:r w:rsidRPr="00806242">
        <w:rPr>
          <w:rFonts w:ascii="Tahoma" w:hAnsi="Tahoma" w:cs="Tahoma"/>
          <w:sz w:val="22"/>
          <w:szCs w:val="22"/>
        </w:rPr>
        <w:t xml:space="preserve"> note de frais</w:t>
      </w:r>
      <w:r w:rsidR="00AD275D" w:rsidRPr="00806242">
        <w:rPr>
          <w:rFonts w:ascii="Tahoma" w:hAnsi="Tahoma" w:cs="Tahoma"/>
          <w:sz w:val="22"/>
          <w:szCs w:val="22"/>
        </w:rPr>
        <w:t>)</w:t>
      </w:r>
      <w:r w:rsidRPr="00806242">
        <w:rPr>
          <w:rFonts w:ascii="Tahoma" w:hAnsi="Tahoma" w:cs="Tahoma"/>
          <w:sz w:val="22"/>
          <w:szCs w:val="22"/>
        </w:rPr>
        <w:t>.</w:t>
      </w:r>
    </w:p>
    <w:p w14:paraId="2C482728" w14:textId="77777777" w:rsidR="000416E6" w:rsidRPr="00094AAC" w:rsidRDefault="000416E6" w:rsidP="000416E6">
      <w:pPr>
        <w:pStyle w:val="Default"/>
        <w:jc w:val="both"/>
        <w:rPr>
          <w:rFonts w:ascii="Tahoma" w:hAnsi="Tahoma" w:cs="Tahoma"/>
          <w:sz w:val="22"/>
          <w:szCs w:val="22"/>
        </w:rPr>
      </w:pPr>
    </w:p>
    <w:p w14:paraId="6712EC5D" w14:textId="4CEAE6FA" w:rsidR="000416E6" w:rsidRPr="00094AAC" w:rsidRDefault="000416E6" w:rsidP="000416E6">
      <w:pPr>
        <w:pStyle w:val="Default"/>
        <w:jc w:val="both"/>
        <w:rPr>
          <w:rFonts w:ascii="Tahoma" w:hAnsi="Tahoma" w:cs="Tahoma"/>
          <w:sz w:val="22"/>
          <w:szCs w:val="22"/>
        </w:rPr>
      </w:pPr>
      <w:r w:rsidRPr="3620BE8D">
        <w:rPr>
          <w:rFonts w:ascii="Tahoma" w:hAnsi="Tahoma" w:cs="Tahoma"/>
          <w:sz w:val="22"/>
          <w:szCs w:val="22"/>
        </w:rPr>
        <w:t>Ils sont détaillés à l’[</w:t>
      </w:r>
      <w:r w:rsidRPr="3620BE8D">
        <w:rPr>
          <w:rFonts w:ascii="Tahoma" w:hAnsi="Tahoma" w:cs="Tahoma"/>
          <w:i/>
          <w:iCs/>
          <w:sz w:val="22"/>
          <w:szCs w:val="22"/>
        </w:rPr>
        <w:t>Annexe</w:t>
      </w:r>
      <w:r w:rsidR="006457F0">
        <w:rPr>
          <w:rFonts w:ascii="Tahoma" w:hAnsi="Tahoma" w:cs="Tahoma"/>
          <w:i/>
          <w:iCs/>
          <w:sz w:val="22"/>
          <w:szCs w:val="22"/>
        </w:rPr>
        <w:t xml:space="preserve"> Tableau récapitulatif des dépenses Onglet</w:t>
      </w:r>
      <w:r w:rsidRPr="3620BE8D">
        <w:rPr>
          <w:rFonts w:ascii="Tahoma" w:hAnsi="Tahoma" w:cs="Tahoma"/>
          <w:sz w:val="22"/>
          <w:szCs w:val="22"/>
        </w:rPr>
        <w:t xml:space="preserve"> </w:t>
      </w:r>
      <w:r w:rsidRPr="3620BE8D">
        <w:rPr>
          <w:rFonts w:ascii="Tahoma" w:hAnsi="Tahoma" w:cs="Tahoma"/>
          <w:i/>
          <w:iCs/>
          <w:sz w:val="22"/>
          <w:szCs w:val="22"/>
        </w:rPr>
        <w:t>1D</w:t>
      </w:r>
      <w:r w:rsidRPr="3620BE8D">
        <w:rPr>
          <w:rFonts w:ascii="Tahoma" w:hAnsi="Tahoma" w:cs="Tahoma"/>
          <w:sz w:val="22"/>
          <w:szCs w:val="22"/>
        </w:rPr>
        <w:t>]</w:t>
      </w:r>
      <w:r w:rsidRPr="3620BE8D">
        <w:rPr>
          <w:rFonts w:ascii="Tahoma" w:hAnsi="Tahoma" w:cs="Tahoma"/>
          <w:i/>
          <w:iCs/>
          <w:sz w:val="22"/>
          <w:szCs w:val="22"/>
        </w:rPr>
        <w:t>.</w:t>
      </w:r>
    </w:p>
    <w:p w14:paraId="5C02ACE3" w14:textId="77777777" w:rsidR="000416E6" w:rsidRPr="00094AAC" w:rsidRDefault="000416E6" w:rsidP="000416E6">
      <w:pPr>
        <w:spacing w:line="240" w:lineRule="auto"/>
        <w:jc w:val="left"/>
        <w:rPr>
          <w:rFonts w:ascii="Tahoma" w:hAnsi="Tahoma" w:cs="Tahoma"/>
        </w:rPr>
      </w:pPr>
    </w:p>
    <w:p w14:paraId="6DAF5907" w14:textId="77777777" w:rsidR="000416E6" w:rsidRPr="00094AAC" w:rsidRDefault="000416E6" w:rsidP="000416E6">
      <w:pPr>
        <w:spacing w:line="240" w:lineRule="auto"/>
        <w:jc w:val="left"/>
        <w:rPr>
          <w:rFonts w:ascii="Tahoma" w:hAnsi="Tahoma" w:cs="Tahoma"/>
          <w:i/>
        </w:rPr>
      </w:pPr>
      <w:r w:rsidRPr="00094AAC">
        <w:rPr>
          <w:rFonts w:ascii="Tahoma" w:hAnsi="Tahoma" w:cs="Tahoma"/>
          <w:i/>
        </w:rPr>
        <w:t>Règles concernant les frais d’hébergement</w:t>
      </w:r>
    </w:p>
    <w:p w14:paraId="7AF75634" w14:textId="77777777" w:rsidR="000416E6" w:rsidRPr="00094AAC" w:rsidRDefault="000416E6" w:rsidP="000416E6">
      <w:pPr>
        <w:pStyle w:val="Default"/>
        <w:jc w:val="both"/>
        <w:rPr>
          <w:rFonts w:ascii="Tahoma" w:hAnsi="Tahoma" w:cs="Tahoma"/>
          <w:sz w:val="22"/>
          <w:szCs w:val="22"/>
        </w:rPr>
      </w:pPr>
    </w:p>
    <w:p w14:paraId="7DB3020C" w14:textId="77777777" w:rsidR="000416E6" w:rsidRPr="00094AAC" w:rsidRDefault="000416E6" w:rsidP="000416E6">
      <w:pPr>
        <w:pStyle w:val="Default"/>
        <w:jc w:val="both"/>
        <w:rPr>
          <w:rFonts w:ascii="Tahoma" w:hAnsi="Tahoma" w:cs="Tahoma"/>
          <w:sz w:val="22"/>
          <w:szCs w:val="22"/>
        </w:rPr>
      </w:pPr>
      <w:r w:rsidRPr="3620BE8D">
        <w:rPr>
          <w:rFonts w:ascii="Tahoma" w:hAnsi="Tahoma" w:cs="Tahoma"/>
          <w:sz w:val="22"/>
          <w:szCs w:val="22"/>
        </w:rPr>
        <w:t>Les frais d’hébergement se justifient uniquement lorsque l’évènement l’exige, c’est-à-dire s’il se déroule sur plusieurs jours, si le déplacement aller-retour est plus coûteux que le logement ou si les horaires le justifient.</w:t>
      </w:r>
    </w:p>
    <w:p w14:paraId="57627B9F" w14:textId="77777777" w:rsidR="000416E6" w:rsidRPr="00094AAC" w:rsidRDefault="000416E6" w:rsidP="000416E6">
      <w:pPr>
        <w:pStyle w:val="Default"/>
        <w:jc w:val="both"/>
        <w:rPr>
          <w:rFonts w:ascii="Tahoma" w:hAnsi="Tahoma" w:cs="Tahoma"/>
          <w:sz w:val="22"/>
          <w:szCs w:val="22"/>
        </w:rPr>
      </w:pPr>
      <w:r w:rsidRPr="3620BE8D">
        <w:rPr>
          <w:rFonts w:ascii="Tahoma" w:hAnsi="Tahoma" w:cs="Tahoma"/>
          <w:sz w:val="22"/>
          <w:szCs w:val="22"/>
        </w:rPr>
        <w:t>Pour ces missions de plus d’une journée avec au moins une nuit d’hôtel, les frais sont remboursés sur la base du coût du repas du soir et de la nuit d’hôtel, petit déjeuner inclus. Le montant total est plafonné à 200 euros HTVA par nuit sur la base des justificatifs présentés.</w:t>
      </w:r>
    </w:p>
    <w:p w14:paraId="782D66F0" w14:textId="77777777" w:rsidR="000416E6" w:rsidRPr="00094AAC" w:rsidRDefault="000416E6" w:rsidP="000416E6">
      <w:pPr>
        <w:pStyle w:val="Default"/>
        <w:jc w:val="both"/>
        <w:rPr>
          <w:rFonts w:ascii="Tahoma" w:hAnsi="Tahoma" w:cs="Tahoma"/>
          <w:sz w:val="22"/>
          <w:szCs w:val="22"/>
        </w:rPr>
      </w:pPr>
      <w:r w:rsidRPr="3620BE8D">
        <w:rPr>
          <w:rFonts w:ascii="Tahoma" w:hAnsi="Tahoma" w:cs="Tahoma"/>
          <w:sz w:val="22"/>
          <w:szCs w:val="22"/>
        </w:rPr>
        <w:t xml:space="preserve">Pour les missions d’une journée sans nuit d’hôtel, seuls les frais de déplacement sont éligibles. Il n’y a pas de remboursement de repas. </w:t>
      </w:r>
    </w:p>
    <w:p w14:paraId="00D2FFC6" w14:textId="77777777" w:rsidR="000416E6" w:rsidRPr="00094AAC" w:rsidRDefault="000416E6" w:rsidP="000416E6">
      <w:pPr>
        <w:pStyle w:val="Default"/>
        <w:jc w:val="both"/>
        <w:rPr>
          <w:rFonts w:ascii="Tahoma" w:hAnsi="Tahoma" w:cs="Tahoma"/>
          <w:sz w:val="22"/>
          <w:szCs w:val="22"/>
        </w:rPr>
      </w:pPr>
    </w:p>
    <w:p w14:paraId="39AB08B3" w14:textId="77777777" w:rsidR="000416E6" w:rsidRPr="00094AAC" w:rsidRDefault="000416E6" w:rsidP="000416E6">
      <w:pPr>
        <w:pStyle w:val="Default"/>
        <w:jc w:val="both"/>
        <w:rPr>
          <w:rFonts w:ascii="Tahoma" w:hAnsi="Tahoma" w:cs="Tahoma"/>
          <w:sz w:val="22"/>
          <w:szCs w:val="22"/>
        </w:rPr>
      </w:pPr>
      <w:r w:rsidRPr="3620BE8D">
        <w:rPr>
          <w:rFonts w:ascii="Tahoma" w:hAnsi="Tahoma" w:cs="Tahoma"/>
          <w:sz w:val="22"/>
          <w:szCs w:val="22"/>
        </w:rPr>
        <w:t>Les frais d’hébergement sont justifiés par les pièces suivantes :</w:t>
      </w:r>
    </w:p>
    <w:p w14:paraId="71799697" w14:textId="46E91B3D" w:rsidR="000416E6" w:rsidRPr="00094AAC" w:rsidRDefault="000416E6" w:rsidP="000416E6">
      <w:pPr>
        <w:pStyle w:val="Default"/>
        <w:jc w:val="both"/>
        <w:rPr>
          <w:rFonts w:ascii="Tahoma" w:hAnsi="Tahoma" w:cs="Tahoma"/>
          <w:sz w:val="22"/>
          <w:szCs w:val="22"/>
        </w:rPr>
      </w:pPr>
      <w:r w:rsidRPr="3620BE8D">
        <w:rPr>
          <w:rFonts w:ascii="Tahoma" w:hAnsi="Tahoma" w:cs="Tahoma"/>
          <w:sz w:val="22"/>
          <w:szCs w:val="22"/>
        </w:rPr>
        <w:t xml:space="preserve">1° </w:t>
      </w:r>
      <w:r w:rsidR="0018714E">
        <w:rPr>
          <w:rFonts w:ascii="Tahoma" w:hAnsi="Tahoma" w:cs="Tahoma"/>
          <w:sz w:val="22"/>
          <w:szCs w:val="22"/>
        </w:rPr>
        <w:t>objet</w:t>
      </w:r>
      <w:r w:rsidR="0018714E" w:rsidRPr="3620BE8D">
        <w:rPr>
          <w:rFonts w:ascii="Tahoma" w:hAnsi="Tahoma" w:cs="Tahoma"/>
          <w:sz w:val="22"/>
          <w:szCs w:val="22"/>
        </w:rPr>
        <w:t xml:space="preserve"> </w:t>
      </w:r>
      <w:r w:rsidRPr="3620BE8D">
        <w:rPr>
          <w:rFonts w:ascii="Tahoma" w:hAnsi="Tahoma" w:cs="Tahoma"/>
          <w:sz w:val="22"/>
          <w:szCs w:val="22"/>
        </w:rPr>
        <w:t>de la réunion ;</w:t>
      </w:r>
    </w:p>
    <w:p w14:paraId="609302CF" w14:textId="77777777" w:rsidR="000416E6" w:rsidRPr="00094AAC" w:rsidRDefault="000416E6" w:rsidP="000416E6">
      <w:pPr>
        <w:pStyle w:val="Default"/>
        <w:jc w:val="both"/>
        <w:rPr>
          <w:rFonts w:ascii="Tahoma" w:hAnsi="Tahoma" w:cs="Tahoma"/>
          <w:sz w:val="22"/>
          <w:szCs w:val="22"/>
        </w:rPr>
      </w:pPr>
      <w:r w:rsidRPr="3620BE8D">
        <w:rPr>
          <w:rFonts w:ascii="Tahoma" w:hAnsi="Tahoma" w:cs="Tahoma"/>
          <w:sz w:val="22"/>
          <w:szCs w:val="22"/>
        </w:rPr>
        <w:t>2° factures.</w:t>
      </w:r>
    </w:p>
    <w:p w14:paraId="02DFA508" w14:textId="19633103" w:rsidR="000416E6" w:rsidRPr="00094AAC" w:rsidRDefault="000416E6" w:rsidP="000416E6">
      <w:pPr>
        <w:spacing w:after="160" w:line="240" w:lineRule="auto"/>
        <w:jc w:val="left"/>
        <w:rPr>
          <w:rFonts w:ascii="Tahoma" w:eastAsiaTheme="minorEastAsia" w:hAnsi="Tahoma" w:cs="Tahoma"/>
          <w:color w:val="000000"/>
        </w:rPr>
      </w:pPr>
    </w:p>
    <w:p w14:paraId="58CAD19C" w14:textId="77777777" w:rsidR="000416E6" w:rsidRPr="00094AAC" w:rsidRDefault="000416E6" w:rsidP="000416E6">
      <w:pPr>
        <w:numPr>
          <w:ilvl w:val="0"/>
          <w:numId w:val="2"/>
        </w:numPr>
        <w:spacing w:line="240" w:lineRule="auto"/>
        <w:ind w:left="0" w:firstLine="0"/>
        <w:rPr>
          <w:rFonts w:ascii="Tahoma" w:hAnsi="Tahoma" w:cs="Tahoma"/>
          <w:b/>
        </w:rPr>
      </w:pPr>
      <w:r w:rsidRPr="00094AAC">
        <w:rPr>
          <w:rFonts w:ascii="Tahoma" w:hAnsi="Tahoma" w:cs="Tahoma"/>
          <w:b/>
        </w:rPr>
        <w:t>Petit matériel informatique et de téléphonie</w:t>
      </w:r>
    </w:p>
    <w:p w14:paraId="77D8463B" w14:textId="77777777" w:rsidR="000416E6" w:rsidRPr="00094AAC" w:rsidRDefault="000416E6" w:rsidP="000416E6">
      <w:pPr>
        <w:spacing w:line="240" w:lineRule="auto"/>
        <w:rPr>
          <w:rFonts w:ascii="Tahoma" w:hAnsi="Tahoma" w:cs="Tahoma"/>
        </w:rPr>
      </w:pPr>
    </w:p>
    <w:p w14:paraId="3F0B403E" w14:textId="77777777" w:rsidR="000416E6" w:rsidRPr="000F281E" w:rsidRDefault="16B74657" w:rsidP="000416E6">
      <w:pPr>
        <w:spacing w:line="240" w:lineRule="auto"/>
        <w:rPr>
          <w:rFonts w:ascii="Tahoma" w:eastAsiaTheme="minorHAnsi" w:hAnsi="Tahoma" w:cs="Tahoma"/>
          <w:color w:val="000000"/>
        </w:rPr>
      </w:pPr>
      <w:bookmarkStart w:id="0" w:name="_Hlk126239287"/>
      <w:r w:rsidRPr="000F281E">
        <w:rPr>
          <w:rFonts w:ascii="Tahoma" w:eastAsiaTheme="minorHAnsi" w:hAnsi="Tahoma" w:cs="Tahoma"/>
          <w:color w:val="000000"/>
        </w:rPr>
        <w:t>Dans le cadre du projet, est considéré comme petit matériel tout objet acheté, tel qu’un PC, un GSM ou un Smartphone, ainsi que les frais d’achat et de location de licences informatiques, sous les conditions suivantes :</w:t>
      </w:r>
    </w:p>
    <w:p w14:paraId="2DAC5946" w14:textId="77777777" w:rsidR="000416E6" w:rsidRPr="00094AAC" w:rsidRDefault="000416E6" w:rsidP="000416E6">
      <w:pPr>
        <w:spacing w:line="240" w:lineRule="auto"/>
        <w:rPr>
          <w:rFonts w:ascii="Tahoma" w:hAnsi="Tahoma" w:cs="Tahoma"/>
        </w:rPr>
      </w:pPr>
      <w:r w:rsidRPr="000F281E">
        <w:rPr>
          <w:rFonts w:ascii="Tahoma" w:eastAsiaTheme="minorHAnsi" w:hAnsi="Tahoma" w:cs="Tahoma"/>
          <w:color w:val="000000"/>
        </w:rPr>
        <w:t xml:space="preserve">1° a une </w:t>
      </w:r>
      <w:bookmarkStart w:id="1" w:name="_Hlk126236079"/>
      <w:r w:rsidRPr="000F281E">
        <w:rPr>
          <w:rFonts w:ascii="Tahoma" w:eastAsiaTheme="minorHAnsi" w:hAnsi="Tahoma" w:cs="Tahoma"/>
          <w:color w:val="000000"/>
        </w:rPr>
        <w:t>valeur de</w:t>
      </w:r>
      <w:r w:rsidRPr="6498BA2F">
        <w:rPr>
          <w:rFonts w:ascii="Tahoma" w:hAnsi="Tahoma" w:cs="Tahoma"/>
        </w:rPr>
        <w:t xml:space="preserve"> maximum 999 euros HTVA</w:t>
      </w:r>
      <w:bookmarkEnd w:id="1"/>
      <w:r w:rsidRPr="6498BA2F">
        <w:rPr>
          <w:rFonts w:ascii="Tahoma" w:hAnsi="Tahoma" w:cs="Tahoma"/>
        </w:rPr>
        <w:t> </w:t>
      </w:r>
      <w:r w:rsidRPr="6498BA2F">
        <w:rPr>
          <w:rStyle w:val="Marquedecommentaire"/>
          <w:rFonts w:ascii="Tahoma" w:hAnsi="Tahoma" w:cs="Tahoma"/>
        </w:rPr>
        <w:t>;</w:t>
      </w:r>
    </w:p>
    <w:p w14:paraId="47E9A899" w14:textId="77777777" w:rsidR="000416E6" w:rsidRPr="00094AAC" w:rsidRDefault="000416E6" w:rsidP="000416E6">
      <w:pPr>
        <w:spacing w:line="240" w:lineRule="auto"/>
        <w:rPr>
          <w:rFonts w:ascii="Tahoma" w:hAnsi="Tahoma" w:cs="Tahoma"/>
        </w:rPr>
      </w:pPr>
      <w:r w:rsidRPr="00094AAC">
        <w:rPr>
          <w:rFonts w:ascii="Tahoma" w:hAnsi="Tahoma" w:cs="Tahoma"/>
        </w:rPr>
        <w:t>2° proportionnellement au taux d’affectation défini sous A ;</w:t>
      </w:r>
    </w:p>
    <w:p w14:paraId="69F5CB13" w14:textId="77777777" w:rsidR="000416E6" w:rsidRPr="00094AAC" w:rsidRDefault="000416E6" w:rsidP="000416E6">
      <w:pPr>
        <w:spacing w:line="240" w:lineRule="auto"/>
        <w:rPr>
          <w:rFonts w:ascii="Tahoma" w:hAnsi="Tahoma" w:cs="Tahoma"/>
        </w:rPr>
      </w:pPr>
      <w:r w:rsidRPr="00094AAC">
        <w:rPr>
          <w:rFonts w:ascii="Tahoma" w:hAnsi="Tahoma" w:cs="Tahoma"/>
        </w:rPr>
        <w:t>3° pour autant que la période de subventionnement soit supérieure à 6 mois.</w:t>
      </w:r>
    </w:p>
    <w:bookmarkEnd w:id="0"/>
    <w:p w14:paraId="157C7B69" w14:textId="77777777" w:rsidR="000416E6" w:rsidRPr="00094AAC" w:rsidRDefault="000416E6" w:rsidP="000416E6">
      <w:pPr>
        <w:spacing w:line="240" w:lineRule="auto"/>
        <w:rPr>
          <w:rFonts w:ascii="Tahoma" w:hAnsi="Tahoma" w:cs="Tahoma"/>
        </w:rPr>
      </w:pPr>
    </w:p>
    <w:p w14:paraId="63972703" w14:textId="77777777" w:rsidR="000416E6" w:rsidRPr="00094AAC" w:rsidRDefault="000416E6" w:rsidP="000416E6">
      <w:pPr>
        <w:spacing w:line="240" w:lineRule="auto"/>
        <w:rPr>
          <w:rFonts w:ascii="Tahoma" w:hAnsi="Tahoma" w:cs="Tahoma"/>
        </w:rPr>
      </w:pPr>
      <w:r w:rsidRPr="00094AAC">
        <w:rPr>
          <w:rFonts w:ascii="Tahoma" w:hAnsi="Tahoma" w:cs="Tahoma"/>
        </w:rPr>
        <w:t>Sauf exception, les achats, constructions et transformations de biens immeubles ne sont pas éligibles.</w:t>
      </w:r>
    </w:p>
    <w:p w14:paraId="38C07CF3" w14:textId="77777777" w:rsidR="000416E6" w:rsidRPr="00094AAC" w:rsidRDefault="000416E6" w:rsidP="000416E6">
      <w:pPr>
        <w:spacing w:line="240" w:lineRule="auto"/>
        <w:rPr>
          <w:rFonts w:ascii="Tahoma" w:hAnsi="Tahoma" w:cs="Tahoma"/>
          <w:u w:val="single"/>
        </w:rPr>
      </w:pPr>
    </w:p>
    <w:p w14:paraId="4B864E78" w14:textId="77777777" w:rsidR="000416E6" w:rsidRPr="00094AAC" w:rsidRDefault="000416E6" w:rsidP="000416E6">
      <w:pPr>
        <w:numPr>
          <w:ilvl w:val="0"/>
          <w:numId w:val="2"/>
        </w:numPr>
        <w:spacing w:line="240" w:lineRule="auto"/>
        <w:ind w:left="0" w:firstLine="0"/>
        <w:rPr>
          <w:rFonts w:ascii="Tahoma" w:hAnsi="Tahoma" w:cs="Tahoma"/>
          <w:b/>
        </w:rPr>
      </w:pPr>
      <w:r w:rsidRPr="00094AAC">
        <w:rPr>
          <w:rFonts w:ascii="Tahoma" w:hAnsi="Tahoma" w:cs="Tahoma"/>
          <w:b/>
        </w:rPr>
        <w:t>Frais forfaitaires de fonctionnement</w:t>
      </w:r>
    </w:p>
    <w:p w14:paraId="7A7D236A" w14:textId="77777777" w:rsidR="000416E6" w:rsidRPr="00094AAC" w:rsidRDefault="000416E6" w:rsidP="000416E6">
      <w:pPr>
        <w:spacing w:line="240" w:lineRule="auto"/>
        <w:rPr>
          <w:rFonts w:ascii="Tahoma" w:hAnsi="Tahoma" w:cs="Tahoma"/>
        </w:rPr>
      </w:pPr>
    </w:p>
    <w:p w14:paraId="2DC480D6" w14:textId="77777777" w:rsidR="000416E6" w:rsidRPr="00094AAC" w:rsidRDefault="000416E6" w:rsidP="000416E6">
      <w:pPr>
        <w:spacing w:line="240" w:lineRule="auto"/>
        <w:rPr>
          <w:rFonts w:ascii="Tahoma" w:hAnsi="Tahoma" w:cs="Tahoma"/>
        </w:rPr>
      </w:pPr>
      <w:r w:rsidRPr="00094AAC">
        <w:rPr>
          <w:rFonts w:ascii="Tahoma" w:hAnsi="Tahoma" w:cs="Tahoma"/>
        </w:rPr>
        <w:lastRenderedPageBreak/>
        <w:t>Les frais de fonctionnement sont éligibles forfaitairement.</w:t>
      </w:r>
    </w:p>
    <w:p w14:paraId="34848625" w14:textId="590E15B8" w:rsidR="67AA0FAC" w:rsidRDefault="67AA0FAC" w:rsidP="67AA0FAC">
      <w:pPr>
        <w:spacing w:line="240" w:lineRule="auto"/>
        <w:rPr>
          <w:rFonts w:ascii="Tahoma" w:hAnsi="Tahoma" w:cs="Tahoma"/>
          <w:highlight w:val="yellow"/>
        </w:rPr>
      </w:pPr>
    </w:p>
    <w:p w14:paraId="5051F153" w14:textId="3C4FBD9C" w:rsidR="60C8BA8B" w:rsidRPr="00806242" w:rsidRDefault="60C8BA8B" w:rsidP="0E05E19E">
      <w:pPr>
        <w:spacing w:line="240" w:lineRule="auto"/>
        <w:rPr>
          <w:rFonts w:ascii="Tahoma" w:hAnsi="Tahoma" w:cs="Tahoma"/>
        </w:rPr>
      </w:pPr>
      <w:r w:rsidRPr="00806242">
        <w:rPr>
          <w:rFonts w:ascii="Tahoma" w:hAnsi="Tahoma" w:cs="Tahoma"/>
        </w:rPr>
        <w:t xml:space="preserve">Les frais de fonctionnement sont plafonnés à 15% des coûts salariaux visés à la catégorie A. En application du principe de confiance, les justificatifs relatifs à ces frais de fonctionnement </w:t>
      </w:r>
      <w:r w:rsidR="4F8BAE13" w:rsidRPr="00806242">
        <w:rPr>
          <w:rFonts w:ascii="Tahoma" w:hAnsi="Tahoma" w:cs="Tahoma"/>
        </w:rPr>
        <w:t>ne sont pas automatiquement transmis</w:t>
      </w:r>
      <w:r w:rsidRPr="00806242">
        <w:rPr>
          <w:rFonts w:ascii="Tahoma" w:hAnsi="Tahoma" w:cs="Tahoma"/>
        </w:rPr>
        <w:t xml:space="preserve"> à l’administration mais </w:t>
      </w:r>
      <w:r w:rsidR="659DABA2" w:rsidRPr="00806242">
        <w:rPr>
          <w:rFonts w:ascii="Tahoma" w:hAnsi="Tahoma" w:cs="Tahoma"/>
        </w:rPr>
        <w:t>ces justificatifs sont transmis à première demande à l’administration ou disponibles lors de contrôles sur place.</w:t>
      </w:r>
      <w:r w:rsidRPr="00806242">
        <w:rPr>
          <w:rFonts w:ascii="Tahoma" w:hAnsi="Tahoma" w:cs="Tahoma"/>
        </w:rPr>
        <w:t xml:space="preserve">  </w:t>
      </w:r>
    </w:p>
    <w:p w14:paraId="336AD2BA" w14:textId="5D3D07EA" w:rsidR="000416E6" w:rsidRPr="00094AAC" w:rsidRDefault="000416E6" w:rsidP="000416E6">
      <w:pPr>
        <w:spacing w:line="240" w:lineRule="auto"/>
        <w:rPr>
          <w:rFonts w:ascii="Tahoma" w:hAnsi="Tahoma" w:cs="Tahoma"/>
        </w:rPr>
      </w:pPr>
    </w:p>
    <w:p w14:paraId="242307FB" w14:textId="1648E011" w:rsidR="000416E6" w:rsidRPr="00094AAC" w:rsidRDefault="16B74657" w:rsidP="000416E6">
      <w:pPr>
        <w:spacing w:line="240" w:lineRule="auto"/>
        <w:rPr>
          <w:rFonts w:ascii="Tahoma" w:hAnsi="Tahoma" w:cs="Tahoma"/>
        </w:rPr>
      </w:pPr>
      <w:r w:rsidRPr="6F1274B8">
        <w:rPr>
          <w:rFonts w:ascii="Tahoma" w:hAnsi="Tahoma" w:cs="Tahoma"/>
        </w:rPr>
        <w:t>Par frais de fonctionnement, il faut entendre tous les frais non repris sous B, C, D et E</w:t>
      </w:r>
      <w:r w:rsidR="3C0897C3" w:rsidRPr="6F1274B8">
        <w:rPr>
          <w:rFonts w:ascii="Tahoma" w:hAnsi="Tahoma" w:cs="Tahoma"/>
        </w:rPr>
        <w:t>.</w:t>
      </w:r>
      <w:r w:rsidR="2F929F3B" w:rsidRPr="6F1274B8">
        <w:rPr>
          <w:rFonts w:ascii="Tahoma" w:hAnsi="Tahoma" w:cs="Tahoma"/>
        </w:rPr>
        <w:t xml:space="preserve"> </w:t>
      </w:r>
      <w:r w:rsidR="458939FA" w:rsidRPr="6F1274B8">
        <w:rPr>
          <w:rFonts w:ascii="Tahoma" w:hAnsi="Tahoma" w:cs="Tahoma"/>
        </w:rPr>
        <w:t>P</w:t>
      </w:r>
      <w:r w:rsidR="123E1078" w:rsidRPr="6F1274B8">
        <w:rPr>
          <w:rFonts w:ascii="Tahoma" w:hAnsi="Tahoma" w:cs="Tahoma"/>
        </w:rPr>
        <w:t xml:space="preserve">ar exemple : </w:t>
      </w:r>
    </w:p>
    <w:p w14:paraId="6EF5FCED" w14:textId="77777777" w:rsidR="000416E6" w:rsidRPr="00094AAC" w:rsidRDefault="000416E6" w:rsidP="000416E6">
      <w:pPr>
        <w:spacing w:line="240" w:lineRule="auto"/>
        <w:rPr>
          <w:rFonts w:ascii="Tahoma" w:hAnsi="Tahoma" w:cs="Tahoma"/>
        </w:rPr>
      </w:pPr>
      <w:r w:rsidRPr="6F1274B8">
        <w:rPr>
          <w:rFonts w:ascii="Tahoma" w:hAnsi="Tahoma" w:cs="Tahoma"/>
        </w:rPr>
        <w:t>1° les fournitures de bureau ;</w:t>
      </w:r>
    </w:p>
    <w:p w14:paraId="6DF4FAA5" w14:textId="77777777" w:rsidR="000416E6" w:rsidRPr="00094AAC" w:rsidRDefault="000416E6" w:rsidP="000416E6">
      <w:pPr>
        <w:spacing w:line="240" w:lineRule="auto"/>
        <w:rPr>
          <w:rFonts w:ascii="Tahoma" w:hAnsi="Tahoma" w:cs="Tahoma"/>
        </w:rPr>
      </w:pPr>
      <w:r w:rsidRPr="00094AAC">
        <w:rPr>
          <w:rFonts w:ascii="Tahoma" w:hAnsi="Tahoma" w:cs="Tahoma"/>
        </w:rPr>
        <w:t>2° les petits frais de réunion tels que le café, les eaux ou les biscuits ;</w:t>
      </w:r>
    </w:p>
    <w:p w14:paraId="6A40712B" w14:textId="77777777" w:rsidR="000416E6" w:rsidRPr="00094AAC" w:rsidRDefault="000416E6" w:rsidP="000416E6">
      <w:pPr>
        <w:spacing w:line="240" w:lineRule="auto"/>
        <w:rPr>
          <w:rFonts w:ascii="Tahoma" w:hAnsi="Tahoma" w:cs="Tahoma"/>
        </w:rPr>
      </w:pPr>
      <w:r w:rsidRPr="00094AAC">
        <w:rPr>
          <w:rFonts w:ascii="Tahoma" w:hAnsi="Tahoma" w:cs="Tahoma"/>
        </w:rPr>
        <w:t>3° les frais d’envoi de document sous format papier ;</w:t>
      </w:r>
    </w:p>
    <w:p w14:paraId="454267BF" w14:textId="77777777" w:rsidR="000416E6" w:rsidRPr="00094AAC" w:rsidRDefault="000416E6" w:rsidP="000416E6">
      <w:pPr>
        <w:spacing w:line="240" w:lineRule="auto"/>
        <w:rPr>
          <w:rFonts w:ascii="Tahoma" w:hAnsi="Tahoma" w:cs="Tahoma"/>
        </w:rPr>
      </w:pPr>
      <w:r w:rsidRPr="00094AAC">
        <w:rPr>
          <w:rFonts w:ascii="Tahoma" w:hAnsi="Tahoma" w:cs="Tahoma"/>
        </w:rPr>
        <w:t>4° les loyers et charges de leasing de photocopieuse ou de matériel informatique ;</w:t>
      </w:r>
    </w:p>
    <w:p w14:paraId="1F92DE29" w14:textId="77777777" w:rsidR="000416E6" w:rsidRPr="00094AAC" w:rsidRDefault="000416E6" w:rsidP="000416E6">
      <w:pPr>
        <w:spacing w:line="240" w:lineRule="auto"/>
        <w:rPr>
          <w:rFonts w:ascii="Tahoma" w:hAnsi="Tahoma" w:cs="Tahoma"/>
        </w:rPr>
      </w:pPr>
      <w:r w:rsidRPr="00094AAC">
        <w:rPr>
          <w:rFonts w:ascii="Tahoma" w:hAnsi="Tahoma" w:cs="Tahoma"/>
        </w:rPr>
        <w:t>5° les dépenses de documentation ;</w:t>
      </w:r>
    </w:p>
    <w:p w14:paraId="60618137" w14:textId="77777777" w:rsidR="000416E6" w:rsidRPr="00094AAC" w:rsidRDefault="000416E6" w:rsidP="000416E6">
      <w:pPr>
        <w:spacing w:line="240" w:lineRule="auto"/>
        <w:rPr>
          <w:rFonts w:ascii="Tahoma" w:hAnsi="Tahoma" w:cs="Tahoma"/>
        </w:rPr>
      </w:pPr>
      <w:r w:rsidRPr="00094AAC">
        <w:rPr>
          <w:rFonts w:ascii="Tahoma" w:hAnsi="Tahoma" w:cs="Tahoma"/>
        </w:rPr>
        <w:t>6° les frais d’abonnements téléphoniques en ce compris les lignes fixes et la téléphonie mobile ;</w:t>
      </w:r>
    </w:p>
    <w:p w14:paraId="17A70F46" w14:textId="77777777" w:rsidR="000416E6" w:rsidRPr="00094AAC" w:rsidRDefault="000416E6" w:rsidP="000416E6">
      <w:pPr>
        <w:spacing w:line="240" w:lineRule="auto"/>
        <w:rPr>
          <w:rFonts w:ascii="Tahoma" w:hAnsi="Tahoma" w:cs="Tahoma"/>
        </w:rPr>
      </w:pPr>
      <w:r w:rsidRPr="00094AAC">
        <w:rPr>
          <w:rFonts w:ascii="Tahoma" w:hAnsi="Tahoma" w:cs="Tahoma"/>
        </w:rPr>
        <w:t>7° les frais d’installation et de connexion internet relatifs à toute connexion située au siège social du bénéficiaire ou dans une de ses différentes implantations ;</w:t>
      </w:r>
    </w:p>
    <w:p w14:paraId="7F01A04E" w14:textId="77777777" w:rsidR="000416E6" w:rsidRPr="00094AAC" w:rsidRDefault="000416E6" w:rsidP="000416E6">
      <w:pPr>
        <w:spacing w:line="240" w:lineRule="auto"/>
        <w:rPr>
          <w:rFonts w:ascii="Tahoma" w:hAnsi="Tahoma" w:cs="Tahoma"/>
        </w:rPr>
      </w:pPr>
      <w:r w:rsidRPr="00094AAC">
        <w:rPr>
          <w:rFonts w:ascii="Tahoma" w:hAnsi="Tahoma" w:cs="Tahoma"/>
        </w:rPr>
        <w:t>8° les frais de location, d’assurance locative et d’entretien des locaux ;</w:t>
      </w:r>
    </w:p>
    <w:p w14:paraId="7C6FD328" w14:textId="77777777" w:rsidR="000416E6" w:rsidRPr="00094AAC" w:rsidRDefault="000416E6" w:rsidP="000416E6">
      <w:pPr>
        <w:spacing w:line="240" w:lineRule="auto"/>
        <w:rPr>
          <w:rFonts w:ascii="Tahoma" w:hAnsi="Tahoma" w:cs="Tahoma"/>
        </w:rPr>
      </w:pPr>
      <w:r w:rsidRPr="00094AAC">
        <w:rPr>
          <w:rFonts w:ascii="Tahoma" w:hAnsi="Tahoma" w:cs="Tahoma"/>
        </w:rPr>
        <w:t>9° les frais de gaz, d’électricité, d’eau ;</w:t>
      </w:r>
    </w:p>
    <w:p w14:paraId="6904AB6D" w14:textId="77777777" w:rsidR="000416E6" w:rsidRPr="00094AAC" w:rsidRDefault="000416E6" w:rsidP="000416E6">
      <w:pPr>
        <w:spacing w:line="240" w:lineRule="auto"/>
        <w:rPr>
          <w:rFonts w:ascii="Tahoma" w:hAnsi="Tahoma" w:cs="Tahoma"/>
        </w:rPr>
      </w:pPr>
      <w:r w:rsidRPr="00094AAC">
        <w:rPr>
          <w:rFonts w:ascii="Tahoma" w:hAnsi="Tahoma" w:cs="Tahoma"/>
        </w:rPr>
        <w:t>10° les frais d’assurance ;</w:t>
      </w:r>
    </w:p>
    <w:p w14:paraId="73316536" w14:textId="77777777" w:rsidR="000416E6" w:rsidRPr="00094AAC" w:rsidRDefault="000416E6" w:rsidP="000416E6">
      <w:pPr>
        <w:spacing w:line="240" w:lineRule="auto"/>
        <w:rPr>
          <w:rFonts w:ascii="Tahoma" w:hAnsi="Tahoma" w:cs="Tahoma"/>
        </w:rPr>
      </w:pPr>
      <w:r w:rsidRPr="6F1274B8">
        <w:rPr>
          <w:rFonts w:ascii="Tahoma" w:hAnsi="Tahoma" w:cs="Tahoma"/>
        </w:rPr>
        <w:t>11° les frais de comptabilité et de publications officielles comme le BNB ou le Moniteur belge.</w:t>
      </w:r>
    </w:p>
    <w:p w14:paraId="4904C90B" w14:textId="77777777" w:rsidR="000416E6" w:rsidRPr="00094AAC" w:rsidRDefault="000416E6" w:rsidP="000416E6">
      <w:pPr>
        <w:spacing w:line="240" w:lineRule="auto"/>
        <w:jc w:val="left"/>
        <w:rPr>
          <w:rFonts w:ascii="Tahoma" w:hAnsi="Tahoma" w:cs="Tahoma"/>
          <w:u w:val="single"/>
        </w:rPr>
      </w:pPr>
    </w:p>
    <w:p w14:paraId="57A191B9" w14:textId="77777777" w:rsidR="000416E6" w:rsidRPr="00094AAC" w:rsidRDefault="000416E6" w:rsidP="000416E6">
      <w:pPr>
        <w:pStyle w:val="Paragraphedeliste"/>
        <w:numPr>
          <w:ilvl w:val="0"/>
          <w:numId w:val="2"/>
        </w:numPr>
        <w:spacing w:line="240" w:lineRule="auto"/>
        <w:ind w:left="851" w:hanging="851"/>
        <w:rPr>
          <w:rFonts w:ascii="Tahoma" w:hAnsi="Tahoma" w:cs="Tahoma"/>
          <w:b/>
        </w:rPr>
      </w:pPr>
      <w:r w:rsidRPr="00094AAC">
        <w:rPr>
          <w:rFonts w:ascii="Tahoma" w:hAnsi="Tahoma" w:cs="Tahoma"/>
          <w:b/>
        </w:rPr>
        <w:t>Investissements</w:t>
      </w:r>
    </w:p>
    <w:p w14:paraId="6C60412B" w14:textId="77777777" w:rsidR="000416E6" w:rsidRPr="00094AAC" w:rsidRDefault="000416E6" w:rsidP="000416E6">
      <w:pPr>
        <w:spacing w:line="240" w:lineRule="auto"/>
        <w:rPr>
          <w:rFonts w:ascii="Tahoma" w:hAnsi="Tahoma" w:cs="Tahoma"/>
        </w:rPr>
      </w:pPr>
    </w:p>
    <w:p w14:paraId="43B0FC17" w14:textId="4FCD5DBB" w:rsidR="000416E6" w:rsidRPr="00094AAC" w:rsidRDefault="000416E6" w:rsidP="000416E6">
      <w:pPr>
        <w:spacing w:line="240" w:lineRule="auto"/>
        <w:rPr>
          <w:rFonts w:ascii="Tahoma" w:hAnsi="Tahoma" w:cs="Tahoma"/>
        </w:rPr>
      </w:pPr>
      <w:r w:rsidRPr="2720434F">
        <w:rPr>
          <w:rFonts w:ascii="Tahoma" w:hAnsi="Tahoma" w:cs="Tahoma"/>
        </w:rPr>
        <w:t>Les achats de biens mobiliers ou immobiliers d’une valeur supérieure ou égale à 1.000 euros HTVA ne sont pas éligibles sauf dispositions particulières prévues par la réglementation ou l’arrêté de subvention.</w:t>
      </w:r>
    </w:p>
    <w:p w14:paraId="77C3E6BA" w14:textId="77777777" w:rsidR="000416E6" w:rsidRPr="00094AAC" w:rsidRDefault="000416E6" w:rsidP="000416E6">
      <w:pPr>
        <w:tabs>
          <w:tab w:val="center" w:pos="6804"/>
        </w:tabs>
        <w:spacing w:line="240" w:lineRule="auto"/>
        <w:rPr>
          <w:rFonts w:ascii="Tahoma" w:hAnsi="Tahoma" w:cs="Tahoma"/>
        </w:rPr>
      </w:pPr>
    </w:p>
    <w:p w14:paraId="31776EBF" w14:textId="77777777" w:rsidR="000416E6" w:rsidRPr="00094AAC" w:rsidRDefault="000416E6" w:rsidP="000416E6">
      <w:pPr>
        <w:tabs>
          <w:tab w:val="center" w:pos="6804"/>
        </w:tabs>
        <w:spacing w:line="240" w:lineRule="auto"/>
        <w:rPr>
          <w:rFonts w:ascii="Tahoma" w:hAnsi="Tahoma" w:cs="Tahoma"/>
          <w:b/>
          <w:u w:val="single"/>
        </w:rPr>
      </w:pPr>
      <w:r w:rsidRPr="3620BE8D">
        <w:rPr>
          <w:rFonts w:ascii="Tahoma" w:hAnsi="Tahoma" w:cs="Tahoma"/>
          <w:b/>
          <w:bCs/>
          <w:u w:val="single"/>
        </w:rPr>
        <w:t>Documents-types à utiliser pour le traitement des pièces justificatives des dépenses</w:t>
      </w:r>
    </w:p>
    <w:p w14:paraId="4DE074EB" w14:textId="25123A25" w:rsidR="000416E6" w:rsidRPr="00094AAC" w:rsidRDefault="16B74657" w:rsidP="1612D95A">
      <w:pPr>
        <w:pStyle w:val="Paragraphedeliste"/>
        <w:numPr>
          <w:ilvl w:val="0"/>
          <w:numId w:val="3"/>
        </w:numPr>
        <w:tabs>
          <w:tab w:val="center" w:pos="6804"/>
        </w:tabs>
        <w:spacing w:line="240" w:lineRule="auto"/>
        <w:rPr>
          <w:rFonts w:ascii="Tahoma" w:hAnsi="Tahoma" w:cs="Tahoma"/>
        </w:rPr>
      </w:pPr>
      <w:r w:rsidRPr="1612D95A">
        <w:rPr>
          <w:rFonts w:ascii="Tahoma" w:hAnsi="Tahoma" w:cs="Tahoma"/>
        </w:rPr>
        <w:t xml:space="preserve">Annexe </w:t>
      </w:r>
      <w:r w:rsidR="5B085E73" w:rsidRPr="1612D95A">
        <w:rPr>
          <w:rFonts w:ascii="Tahoma" w:hAnsi="Tahoma" w:cs="Tahoma"/>
        </w:rPr>
        <w:t>T</w:t>
      </w:r>
      <w:r w:rsidRPr="1612D95A">
        <w:rPr>
          <w:rFonts w:ascii="Tahoma" w:hAnsi="Tahoma" w:cs="Tahoma"/>
        </w:rPr>
        <w:t>ableau récapitulatif</w:t>
      </w:r>
      <w:r w:rsidR="15548016" w:rsidRPr="1612D95A">
        <w:rPr>
          <w:rFonts w:ascii="Tahoma" w:hAnsi="Tahoma" w:cs="Tahoma"/>
        </w:rPr>
        <w:t xml:space="preserve"> de</w:t>
      </w:r>
      <w:r w:rsidR="008B21A8">
        <w:rPr>
          <w:rFonts w:ascii="Tahoma" w:hAnsi="Tahoma" w:cs="Tahoma"/>
        </w:rPr>
        <w:t>s</w:t>
      </w:r>
      <w:r w:rsidR="15548016" w:rsidRPr="1612D95A">
        <w:rPr>
          <w:rFonts w:ascii="Tahoma" w:hAnsi="Tahoma" w:cs="Tahoma"/>
        </w:rPr>
        <w:t xml:space="preserve"> dépenses</w:t>
      </w:r>
      <w:r w:rsidR="6C428D5F" w:rsidRPr="1612D95A">
        <w:rPr>
          <w:rFonts w:ascii="Tahoma" w:hAnsi="Tahoma" w:cs="Tahoma"/>
        </w:rPr>
        <w:t xml:space="preserve"> </w:t>
      </w:r>
      <w:r w:rsidRPr="1612D95A">
        <w:rPr>
          <w:rFonts w:ascii="Tahoma" w:hAnsi="Tahoma" w:cs="Tahoma"/>
        </w:rPr>
        <w:t>[</w:t>
      </w:r>
      <w:r w:rsidR="0022370B">
        <w:rPr>
          <w:rFonts w:ascii="Tahoma" w:hAnsi="Tahoma" w:cs="Tahoma"/>
          <w:i/>
          <w:iCs/>
        </w:rPr>
        <w:t>Onglet</w:t>
      </w:r>
      <w:r w:rsidR="0022370B" w:rsidRPr="1612D95A">
        <w:rPr>
          <w:rFonts w:ascii="Tahoma" w:hAnsi="Tahoma" w:cs="Tahoma"/>
          <w:i/>
          <w:iCs/>
        </w:rPr>
        <w:t xml:space="preserve"> </w:t>
      </w:r>
      <w:r w:rsidRPr="1612D95A">
        <w:rPr>
          <w:rFonts w:ascii="Tahoma" w:hAnsi="Tahoma" w:cs="Tahoma"/>
          <w:i/>
          <w:iCs/>
        </w:rPr>
        <w:t>1B</w:t>
      </w:r>
      <w:r w:rsidRPr="1612D95A">
        <w:rPr>
          <w:rFonts w:ascii="Tahoma" w:hAnsi="Tahoma" w:cs="Tahoma"/>
        </w:rPr>
        <w:t>], le tableau « timesheets » [</w:t>
      </w:r>
      <w:r w:rsidR="0022370B">
        <w:rPr>
          <w:rFonts w:ascii="Tahoma" w:hAnsi="Tahoma" w:cs="Tahoma"/>
          <w:i/>
          <w:iCs/>
        </w:rPr>
        <w:t>Onglet</w:t>
      </w:r>
      <w:r w:rsidR="0022370B" w:rsidRPr="1612D95A">
        <w:rPr>
          <w:rFonts w:ascii="Tahoma" w:hAnsi="Tahoma" w:cs="Tahoma"/>
          <w:i/>
          <w:iCs/>
        </w:rPr>
        <w:t xml:space="preserve"> </w:t>
      </w:r>
      <w:r w:rsidRPr="1612D95A">
        <w:rPr>
          <w:rFonts w:ascii="Tahoma" w:hAnsi="Tahoma" w:cs="Tahoma"/>
          <w:i/>
          <w:iCs/>
        </w:rPr>
        <w:t>1C</w:t>
      </w:r>
      <w:r w:rsidRPr="1612D95A">
        <w:rPr>
          <w:rFonts w:ascii="Tahoma" w:hAnsi="Tahoma" w:cs="Tahoma"/>
        </w:rPr>
        <w:t>], le tableau des frais déplacement [</w:t>
      </w:r>
      <w:r w:rsidR="0022370B">
        <w:rPr>
          <w:rFonts w:ascii="Tahoma" w:hAnsi="Tahoma" w:cs="Tahoma"/>
          <w:i/>
          <w:iCs/>
        </w:rPr>
        <w:t>Onglet</w:t>
      </w:r>
      <w:r w:rsidR="0022370B" w:rsidRPr="1612D95A">
        <w:rPr>
          <w:rFonts w:ascii="Tahoma" w:hAnsi="Tahoma" w:cs="Tahoma"/>
          <w:i/>
          <w:iCs/>
        </w:rPr>
        <w:t xml:space="preserve"> </w:t>
      </w:r>
      <w:r w:rsidRPr="1612D95A">
        <w:rPr>
          <w:rFonts w:ascii="Tahoma" w:hAnsi="Tahoma" w:cs="Tahoma"/>
          <w:i/>
          <w:iCs/>
        </w:rPr>
        <w:t>1D</w:t>
      </w:r>
      <w:r w:rsidRPr="1612D95A">
        <w:rPr>
          <w:rFonts w:ascii="Tahoma" w:hAnsi="Tahoma" w:cs="Tahoma"/>
        </w:rPr>
        <w:t>]</w:t>
      </w:r>
    </w:p>
    <w:p w14:paraId="36F24BEA" w14:textId="1F81FCC4" w:rsidR="000416E6" w:rsidRPr="00094AAC" w:rsidRDefault="000416E6" w:rsidP="000416E6">
      <w:pPr>
        <w:pStyle w:val="Paragraphedeliste"/>
        <w:numPr>
          <w:ilvl w:val="0"/>
          <w:numId w:val="3"/>
        </w:numPr>
        <w:tabs>
          <w:tab w:val="center" w:pos="6804"/>
        </w:tabs>
        <w:spacing w:line="240" w:lineRule="auto"/>
        <w:contextualSpacing w:val="0"/>
        <w:rPr>
          <w:rFonts w:ascii="Tahoma" w:hAnsi="Tahoma" w:cs="Tahoma"/>
        </w:rPr>
      </w:pPr>
      <w:r w:rsidRPr="00094AAC">
        <w:rPr>
          <w:rFonts w:ascii="Tahoma" w:hAnsi="Tahoma" w:cs="Tahoma"/>
        </w:rPr>
        <w:t xml:space="preserve">Annexe - </w:t>
      </w:r>
      <w:r w:rsidR="00B518F5">
        <w:rPr>
          <w:rFonts w:ascii="Tahoma" w:hAnsi="Tahoma" w:cs="Tahoma"/>
        </w:rPr>
        <w:t>M</w:t>
      </w:r>
      <w:r w:rsidRPr="00094AAC">
        <w:rPr>
          <w:rFonts w:ascii="Tahoma" w:hAnsi="Tahoma" w:cs="Tahoma"/>
        </w:rPr>
        <w:t>odèle de déclaration de créance</w:t>
      </w:r>
    </w:p>
    <w:p w14:paraId="0857231B" w14:textId="77777777" w:rsidR="000416E6" w:rsidRPr="00094AAC" w:rsidRDefault="000416E6" w:rsidP="000416E6">
      <w:pPr>
        <w:tabs>
          <w:tab w:val="center" w:pos="6804"/>
        </w:tabs>
        <w:spacing w:line="240" w:lineRule="auto"/>
        <w:ind w:left="360"/>
        <w:rPr>
          <w:rFonts w:ascii="Tahoma" w:hAnsi="Tahoma" w:cs="Tahoma"/>
        </w:rPr>
      </w:pPr>
    </w:p>
    <w:p w14:paraId="11EA8725" w14:textId="77777777" w:rsidR="000416E6" w:rsidRDefault="000416E6" w:rsidP="000416E6">
      <w:pPr>
        <w:tabs>
          <w:tab w:val="center" w:pos="6804"/>
        </w:tabs>
        <w:spacing w:line="240" w:lineRule="auto"/>
        <w:jc w:val="left"/>
        <w:rPr>
          <w:rFonts w:ascii="Tahoma" w:hAnsi="Tahoma" w:cs="Tahoma"/>
        </w:rPr>
      </w:pPr>
      <w:r w:rsidRPr="356A6A4B">
        <w:rPr>
          <w:rFonts w:ascii="Tahoma" w:hAnsi="Tahoma" w:cs="Tahoma"/>
        </w:rPr>
        <w:t xml:space="preserve">Ces documents sont disponibles sous format électronique à l’adresse suivante : </w:t>
      </w:r>
      <w:hyperlink r:id="rId11">
        <w:r w:rsidRPr="356A6A4B">
          <w:rPr>
            <w:rStyle w:val="Lienhypertexte"/>
            <w:rFonts w:ascii="Tahoma" w:hAnsi="Tahoma" w:cs="Tahoma"/>
          </w:rPr>
          <w:t>https://economie.wallonie.be/home/strategies/reporting.html</w:t>
        </w:r>
      </w:hyperlink>
      <w:r w:rsidRPr="356A6A4B">
        <w:rPr>
          <w:rFonts w:ascii="Tahoma" w:hAnsi="Tahoma" w:cs="Tahoma"/>
        </w:rPr>
        <w:t xml:space="preserve"> </w:t>
      </w:r>
    </w:p>
    <w:p w14:paraId="6D4F6317" w14:textId="77777777" w:rsidR="000416E6" w:rsidRPr="0022370B" w:rsidRDefault="000416E6" w:rsidP="000416E6">
      <w:pPr>
        <w:spacing w:line="240" w:lineRule="auto"/>
        <w:rPr>
          <w:rFonts w:ascii="Tahoma" w:eastAsia="Tahoma" w:hAnsi="Tahoma" w:cs="Tahoma"/>
          <w:color w:val="000000" w:themeColor="text1"/>
        </w:rPr>
      </w:pPr>
      <w:r w:rsidRPr="0022370B">
        <w:rPr>
          <w:rStyle w:val="Lienhypertexte"/>
          <w:rFonts w:ascii="Tahoma" w:eastAsia="Tahoma" w:hAnsi="Tahoma" w:cs="Tahoma"/>
          <w:color w:val="000000" w:themeColor="text1"/>
          <w:u w:val="none"/>
        </w:rPr>
        <w:t>Cet hyperlien étant susceptible d’être modifié ou certains documents-types pouvant être actualisés, le bénéficiaire de la subvention prend contact avec l’agent avant d’initier la rédaction du reporting.</w:t>
      </w:r>
    </w:p>
    <w:p w14:paraId="19996298" w14:textId="77777777" w:rsidR="000416E6" w:rsidRDefault="000416E6" w:rsidP="000416E6">
      <w:pPr>
        <w:spacing w:line="240" w:lineRule="auto"/>
        <w:rPr>
          <w:rStyle w:val="Lienhypertexte"/>
          <w:rFonts w:ascii="Tahoma" w:eastAsia="Tahoma" w:hAnsi="Tahoma" w:cs="Tahoma"/>
          <w:color w:val="000000" w:themeColor="text1"/>
        </w:rPr>
      </w:pPr>
    </w:p>
    <w:p w14:paraId="245BF1B5" w14:textId="77777777" w:rsidR="00AB6E65" w:rsidRDefault="00AB6E65"/>
    <w:sectPr w:rsidR="00AB6E65">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0F314" w14:textId="77777777" w:rsidR="00056918" w:rsidRDefault="00056918" w:rsidP="000416E6">
      <w:pPr>
        <w:spacing w:line="240" w:lineRule="auto"/>
      </w:pPr>
      <w:r>
        <w:separator/>
      </w:r>
    </w:p>
  </w:endnote>
  <w:endnote w:type="continuationSeparator" w:id="0">
    <w:p w14:paraId="528251DB" w14:textId="77777777" w:rsidR="00056918" w:rsidRDefault="00056918" w:rsidP="000416E6">
      <w:pPr>
        <w:spacing w:line="240" w:lineRule="auto"/>
      </w:pPr>
      <w:r>
        <w:continuationSeparator/>
      </w:r>
    </w:p>
  </w:endnote>
  <w:endnote w:type="continuationNotice" w:id="1">
    <w:p w14:paraId="320DF1E1" w14:textId="77777777" w:rsidR="00056918" w:rsidRDefault="000569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080AF" w14:textId="77777777" w:rsidR="00056918" w:rsidRDefault="00056918" w:rsidP="000416E6">
      <w:pPr>
        <w:spacing w:line="240" w:lineRule="auto"/>
      </w:pPr>
      <w:r>
        <w:separator/>
      </w:r>
    </w:p>
  </w:footnote>
  <w:footnote w:type="continuationSeparator" w:id="0">
    <w:p w14:paraId="66A1BAAD" w14:textId="77777777" w:rsidR="00056918" w:rsidRDefault="00056918" w:rsidP="000416E6">
      <w:pPr>
        <w:spacing w:line="240" w:lineRule="auto"/>
      </w:pPr>
      <w:r>
        <w:continuationSeparator/>
      </w:r>
    </w:p>
  </w:footnote>
  <w:footnote w:type="continuationNotice" w:id="1">
    <w:p w14:paraId="7F24191C" w14:textId="77777777" w:rsidR="00056918" w:rsidRDefault="0005691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93538" w14:textId="1D869FA9" w:rsidR="000416E6" w:rsidRDefault="000416E6">
    <w:pPr>
      <w:pStyle w:val="En-tte"/>
    </w:pPr>
    <w:r>
      <w:t>Annexe 1 – Version 2025-0</w:t>
    </w:r>
    <w:r w:rsidR="00A4629C">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725FE"/>
    <w:multiLevelType w:val="multilevel"/>
    <w:tmpl w:val="1EA6242C"/>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AD340D5"/>
    <w:multiLevelType w:val="hybridMultilevel"/>
    <w:tmpl w:val="4A74BDBE"/>
    <w:lvl w:ilvl="0" w:tplc="920A197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 w15:restartNumberingAfterBreak="0">
    <w:nsid w:val="2116021D"/>
    <w:multiLevelType w:val="hybridMultilevel"/>
    <w:tmpl w:val="862224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6761041"/>
    <w:multiLevelType w:val="hybridMultilevel"/>
    <w:tmpl w:val="3BFCA616"/>
    <w:lvl w:ilvl="0" w:tplc="080C0015">
      <w:start w:val="1"/>
      <w:numFmt w:val="upp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16cid:durableId="2124766769">
    <w:abstractNumId w:val="0"/>
  </w:num>
  <w:num w:numId="2" w16cid:durableId="998465599">
    <w:abstractNumId w:val="3"/>
  </w:num>
  <w:num w:numId="3" w16cid:durableId="757287127">
    <w:abstractNumId w:val="2"/>
  </w:num>
  <w:num w:numId="4" w16cid:durableId="582763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6E6"/>
    <w:rsid w:val="00020D7D"/>
    <w:rsid w:val="000416E6"/>
    <w:rsid w:val="0004355E"/>
    <w:rsid w:val="00056918"/>
    <w:rsid w:val="00070BFD"/>
    <w:rsid w:val="0007557C"/>
    <w:rsid w:val="000B63A3"/>
    <w:rsid w:val="000D5C63"/>
    <w:rsid w:val="000F281E"/>
    <w:rsid w:val="00103CD5"/>
    <w:rsid w:val="00106866"/>
    <w:rsid w:val="0011566C"/>
    <w:rsid w:val="0011689E"/>
    <w:rsid w:val="0012470E"/>
    <w:rsid w:val="00130FE6"/>
    <w:rsid w:val="001312D9"/>
    <w:rsid w:val="00175D93"/>
    <w:rsid w:val="0018643D"/>
    <w:rsid w:val="0018714E"/>
    <w:rsid w:val="001B7926"/>
    <w:rsid w:val="001C2EEF"/>
    <w:rsid w:val="001E42CF"/>
    <w:rsid w:val="002070AB"/>
    <w:rsid w:val="00214624"/>
    <w:rsid w:val="0022370B"/>
    <w:rsid w:val="00236805"/>
    <w:rsid w:val="00263308"/>
    <w:rsid w:val="00274941"/>
    <w:rsid w:val="002773D6"/>
    <w:rsid w:val="002811BC"/>
    <w:rsid w:val="00287444"/>
    <w:rsid w:val="002B77AE"/>
    <w:rsid w:val="002D08B0"/>
    <w:rsid w:val="002D1D61"/>
    <w:rsid w:val="0030023C"/>
    <w:rsid w:val="00301669"/>
    <w:rsid w:val="00302CF1"/>
    <w:rsid w:val="00307D64"/>
    <w:rsid w:val="003729EB"/>
    <w:rsid w:val="003752EB"/>
    <w:rsid w:val="00382488"/>
    <w:rsid w:val="003C1E55"/>
    <w:rsid w:val="003C25EC"/>
    <w:rsid w:val="003C35E2"/>
    <w:rsid w:val="003C65F6"/>
    <w:rsid w:val="003D408D"/>
    <w:rsid w:val="003D6772"/>
    <w:rsid w:val="004279F9"/>
    <w:rsid w:val="00432796"/>
    <w:rsid w:val="00445F36"/>
    <w:rsid w:val="004C2471"/>
    <w:rsid w:val="004D00DF"/>
    <w:rsid w:val="004D43AE"/>
    <w:rsid w:val="004E0379"/>
    <w:rsid w:val="004E5AD0"/>
    <w:rsid w:val="004E7373"/>
    <w:rsid w:val="004F4946"/>
    <w:rsid w:val="004F59B5"/>
    <w:rsid w:val="00505388"/>
    <w:rsid w:val="00544E81"/>
    <w:rsid w:val="00552A46"/>
    <w:rsid w:val="005561E6"/>
    <w:rsid w:val="00566763"/>
    <w:rsid w:val="005C05F0"/>
    <w:rsid w:val="005D1D9D"/>
    <w:rsid w:val="005E707D"/>
    <w:rsid w:val="006365B5"/>
    <w:rsid w:val="006373BC"/>
    <w:rsid w:val="006457F0"/>
    <w:rsid w:val="00651501"/>
    <w:rsid w:val="00690315"/>
    <w:rsid w:val="006A34D9"/>
    <w:rsid w:val="006D1D19"/>
    <w:rsid w:val="006E19BA"/>
    <w:rsid w:val="00726127"/>
    <w:rsid w:val="00731E99"/>
    <w:rsid w:val="00734CD3"/>
    <w:rsid w:val="00744308"/>
    <w:rsid w:val="00767684"/>
    <w:rsid w:val="00780F29"/>
    <w:rsid w:val="0078713E"/>
    <w:rsid w:val="007B0557"/>
    <w:rsid w:val="007D4162"/>
    <w:rsid w:val="007F023A"/>
    <w:rsid w:val="007F0922"/>
    <w:rsid w:val="00806242"/>
    <w:rsid w:val="00831260"/>
    <w:rsid w:val="00844733"/>
    <w:rsid w:val="0085397B"/>
    <w:rsid w:val="008B21A8"/>
    <w:rsid w:val="008D5628"/>
    <w:rsid w:val="008D7C52"/>
    <w:rsid w:val="008E35E3"/>
    <w:rsid w:val="008E7DDB"/>
    <w:rsid w:val="00901168"/>
    <w:rsid w:val="00922222"/>
    <w:rsid w:val="0093235A"/>
    <w:rsid w:val="0094732C"/>
    <w:rsid w:val="009579C0"/>
    <w:rsid w:val="0097174F"/>
    <w:rsid w:val="0097681F"/>
    <w:rsid w:val="00985822"/>
    <w:rsid w:val="009A4067"/>
    <w:rsid w:val="009F1713"/>
    <w:rsid w:val="009F36F8"/>
    <w:rsid w:val="00A10C5C"/>
    <w:rsid w:val="00A12922"/>
    <w:rsid w:val="00A1542D"/>
    <w:rsid w:val="00A17712"/>
    <w:rsid w:val="00A20B16"/>
    <w:rsid w:val="00A4629C"/>
    <w:rsid w:val="00A5658C"/>
    <w:rsid w:val="00A6233F"/>
    <w:rsid w:val="00A846B5"/>
    <w:rsid w:val="00A908D8"/>
    <w:rsid w:val="00AB0926"/>
    <w:rsid w:val="00AB40DB"/>
    <w:rsid w:val="00AB6E65"/>
    <w:rsid w:val="00AC7B4C"/>
    <w:rsid w:val="00AC7C42"/>
    <w:rsid w:val="00AD275D"/>
    <w:rsid w:val="00AF1924"/>
    <w:rsid w:val="00AF3D0A"/>
    <w:rsid w:val="00B31926"/>
    <w:rsid w:val="00B31C19"/>
    <w:rsid w:val="00B42AE1"/>
    <w:rsid w:val="00B51231"/>
    <w:rsid w:val="00B518F5"/>
    <w:rsid w:val="00B73501"/>
    <w:rsid w:val="00B8699A"/>
    <w:rsid w:val="00BA7139"/>
    <w:rsid w:val="00BB7654"/>
    <w:rsid w:val="00C006D9"/>
    <w:rsid w:val="00C01627"/>
    <w:rsid w:val="00C04066"/>
    <w:rsid w:val="00C12389"/>
    <w:rsid w:val="00C15171"/>
    <w:rsid w:val="00C22268"/>
    <w:rsid w:val="00C22CE7"/>
    <w:rsid w:val="00C74A54"/>
    <w:rsid w:val="00C74EAA"/>
    <w:rsid w:val="00C8692C"/>
    <w:rsid w:val="00CA386F"/>
    <w:rsid w:val="00CB155C"/>
    <w:rsid w:val="00CB6A79"/>
    <w:rsid w:val="00CB7E2A"/>
    <w:rsid w:val="00CC1D14"/>
    <w:rsid w:val="00CD49F2"/>
    <w:rsid w:val="00CF0F32"/>
    <w:rsid w:val="00CF59A8"/>
    <w:rsid w:val="00D01C63"/>
    <w:rsid w:val="00D45808"/>
    <w:rsid w:val="00D61484"/>
    <w:rsid w:val="00D62CB3"/>
    <w:rsid w:val="00D65DDC"/>
    <w:rsid w:val="00D95D86"/>
    <w:rsid w:val="00DA2A00"/>
    <w:rsid w:val="00DB2BCB"/>
    <w:rsid w:val="00DF06C9"/>
    <w:rsid w:val="00E10B62"/>
    <w:rsid w:val="00E16253"/>
    <w:rsid w:val="00E23A26"/>
    <w:rsid w:val="00E50C47"/>
    <w:rsid w:val="00E5506C"/>
    <w:rsid w:val="00E6086E"/>
    <w:rsid w:val="00E82C2F"/>
    <w:rsid w:val="00E845C7"/>
    <w:rsid w:val="00E93D5C"/>
    <w:rsid w:val="00EB1F82"/>
    <w:rsid w:val="00EC2EE0"/>
    <w:rsid w:val="00ED34CA"/>
    <w:rsid w:val="00F57338"/>
    <w:rsid w:val="00F6698B"/>
    <w:rsid w:val="00F82BCF"/>
    <w:rsid w:val="00F96C55"/>
    <w:rsid w:val="00FA69A9"/>
    <w:rsid w:val="00FB4CCB"/>
    <w:rsid w:val="00FD07CB"/>
    <w:rsid w:val="00FE100E"/>
    <w:rsid w:val="00FE7491"/>
    <w:rsid w:val="015D33D1"/>
    <w:rsid w:val="01627605"/>
    <w:rsid w:val="01F40D36"/>
    <w:rsid w:val="03BB1517"/>
    <w:rsid w:val="043046EB"/>
    <w:rsid w:val="06D1784F"/>
    <w:rsid w:val="06EFE5C9"/>
    <w:rsid w:val="07815FF1"/>
    <w:rsid w:val="07D5D9EF"/>
    <w:rsid w:val="08380CD5"/>
    <w:rsid w:val="08AEA275"/>
    <w:rsid w:val="094B93F4"/>
    <w:rsid w:val="0A916524"/>
    <w:rsid w:val="0AA40641"/>
    <w:rsid w:val="0AEBC384"/>
    <w:rsid w:val="0B0E20D8"/>
    <w:rsid w:val="0B9F7BA4"/>
    <w:rsid w:val="0C018160"/>
    <w:rsid w:val="0DABCA6B"/>
    <w:rsid w:val="0E05E19E"/>
    <w:rsid w:val="0E343EC2"/>
    <w:rsid w:val="0E823261"/>
    <w:rsid w:val="0F0E0164"/>
    <w:rsid w:val="0F0F9404"/>
    <w:rsid w:val="0F314498"/>
    <w:rsid w:val="0FCC0286"/>
    <w:rsid w:val="1180E1A0"/>
    <w:rsid w:val="1196DDBA"/>
    <w:rsid w:val="11E5EC21"/>
    <w:rsid w:val="1214DC63"/>
    <w:rsid w:val="123E1078"/>
    <w:rsid w:val="14F86376"/>
    <w:rsid w:val="15504573"/>
    <w:rsid w:val="15548016"/>
    <w:rsid w:val="15D618AC"/>
    <w:rsid w:val="1612D95A"/>
    <w:rsid w:val="163A4768"/>
    <w:rsid w:val="16B74657"/>
    <w:rsid w:val="16CFDC56"/>
    <w:rsid w:val="172F3F24"/>
    <w:rsid w:val="1747F795"/>
    <w:rsid w:val="17C77DA9"/>
    <w:rsid w:val="18D9E0D5"/>
    <w:rsid w:val="1997976D"/>
    <w:rsid w:val="19C20316"/>
    <w:rsid w:val="1B15B977"/>
    <w:rsid w:val="1CB22021"/>
    <w:rsid w:val="1D26B191"/>
    <w:rsid w:val="1D424619"/>
    <w:rsid w:val="1E6E8827"/>
    <w:rsid w:val="1FB1A55B"/>
    <w:rsid w:val="1FD7DCD8"/>
    <w:rsid w:val="20FE1AA1"/>
    <w:rsid w:val="213F873F"/>
    <w:rsid w:val="21CA6CB8"/>
    <w:rsid w:val="220ADA97"/>
    <w:rsid w:val="22B73729"/>
    <w:rsid w:val="233D27A1"/>
    <w:rsid w:val="236F87A3"/>
    <w:rsid w:val="23F81A41"/>
    <w:rsid w:val="24B6D26A"/>
    <w:rsid w:val="24EE38D1"/>
    <w:rsid w:val="25DF7D4E"/>
    <w:rsid w:val="25F59724"/>
    <w:rsid w:val="274A64C1"/>
    <w:rsid w:val="2751DD55"/>
    <w:rsid w:val="27A03929"/>
    <w:rsid w:val="27A9E25E"/>
    <w:rsid w:val="29C0280F"/>
    <w:rsid w:val="2B7C6450"/>
    <w:rsid w:val="2BE1AA63"/>
    <w:rsid w:val="2C2259A6"/>
    <w:rsid w:val="2C5E3907"/>
    <w:rsid w:val="2CDBC3E2"/>
    <w:rsid w:val="2D3EA304"/>
    <w:rsid w:val="2EDE8818"/>
    <w:rsid w:val="2F929F3B"/>
    <w:rsid w:val="31DB262B"/>
    <w:rsid w:val="33790971"/>
    <w:rsid w:val="33AA5E39"/>
    <w:rsid w:val="3491E012"/>
    <w:rsid w:val="349FF6B4"/>
    <w:rsid w:val="353B863E"/>
    <w:rsid w:val="356DBA9B"/>
    <w:rsid w:val="36456BE8"/>
    <w:rsid w:val="37461362"/>
    <w:rsid w:val="377CD946"/>
    <w:rsid w:val="37A44994"/>
    <w:rsid w:val="37D67C5C"/>
    <w:rsid w:val="3975FA78"/>
    <w:rsid w:val="39E67A54"/>
    <w:rsid w:val="39EEE8EC"/>
    <w:rsid w:val="3A4AF516"/>
    <w:rsid w:val="3AA3FE3A"/>
    <w:rsid w:val="3AC5C5A4"/>
    <w:rsid w:val="3AF287AC"/>
    <w:rsid w:val="3B5C3F83"/>
    <w:rsid w:val="3C0897C3"/>
    <w:rsid w:val="3CC3A237"/>
    <w:rsid w:val="3D6A4567"/>
    <w:rsid w:val="3E75BAE5"/>
    <w:rsid w:val="3F085DA6"/>
    <w:rsid w:val="3F80370B"/>
    <w:rsid w:val="3F962C47"/>
    <w:rsid w:val="3F9E2C30"/>
    <w:rsid w:val="40689D00"/>
    <w:rsid w:val="408D2C5C"/>
    <w:rsid w:val="4172D149"/>
    <w:rsid w:val="417E165C"/>
    <w:rsid w:val="42D04137"/>
    <w:rsid w:val="434695AD"/>
    <w:rsid w:val="451FA960"/>
    <w:rsid w:val="456113FE"/>
    <w:rsid w:val="458939FA"/>
    <w:rsid w:val="45BF16E9"/>
    <w:rsid w:val="46054295"/>
    <w:rsid w:val="47A5CF2E"/>
    <w:rsid w:val="47CB39F9"/>
    <w:rsid w:val="4A6C7815"/>
    <w:rsid w:val="4BB1E832"/>
    <w:rsid w:val="4C0D8766"/>
    <w:rsid w:val="4D14D405"/>
    <w:rsid w:val="4D4E317D"/>
    <w:rsid w:val="4F0BFE2E"/>
    <w:rsid w:val="4F7F2400"/>
    <w:rsid w:val="4F8BAE13"/>
    <w:rsid w:val="508C3BF6"/>
    <w:rsid w:val="5097DA39"/>
    <w:rsid w:val="516C400D"/>
    <w:rsid w:val="5194D9E5"/>
    <w:rsid w:val="51DADAF3"/>
    <w:rsid w:val="5291538B"/>
    <w:rsid w:val="52BE8739"/>
    <w:rsid w:val="52C721D6"/>
    <w:rsid w:val="539415BF"/>
    <w:rsid w:val="54A007CD"/>
    <w:rsid w:val="54DB1E97"/>
    <w:rsid w:val="55ECE347"/>
    <w:rsid w:val="56CAC21B"/>
    <w:rsid w:val="56F59F81"/>
    <w:rsid w:val="57576BEF"/>
    <w:rsid w:val="579051F2"/>
    <w:rsid w:val="57A8B1F0"/>
    <w:rsid w:val="5838279A"/>
    <w:rsid w:val="583F7A03"/>
    <w:rsid w:val="59C7816C"/>
    <w:rsid w:val="5A5264AD"/>
    <w:rsid w:val="5AFA713D"/>
    <w:rsid w:val="5B085E73"/>
    <w:rsid w:val="5B426D7A"/>
    <w:rsid w:val="5B4B9FE6"/>
    <w:rsid w:val="5B55214A"/>
    <w:rsid w:val="5C49C339"/>
    <w:rsid w:val="5CC37C6D"/>
    <w:rsid w:val="5ECE5ACF"/>
    <w:rsid w:val="5FE38A34"/>
    <w:rsid w:val="6035AB0A"/>
    <w:rsid w:val="604E83AB"/>
    <w:rsid w:val="60898204"/>
    <w:rsid w:val="60C3CC9C"/>
    <w:rsid w:val="60C8BA8B"/>
    <w:rsid w:val="611B768D"/>
    <w:rsid w:val="61230B56"/>
    <w:rsid w:val="627270F3"/>
    <w:rsid w:val="627B3FD6"/>
    <w:rsid w:val="638A41F4"/>
    <w:rsid w:val="64434BCC"/>
    <w:rsid w:val="647FECA5"/>
    <w:rsid w:val="6519B0E6"/>
    <w:rsid w:val="659DABA2"/>
    <w:rsid w:val="6603C173"/>
    <w:rsid w:val="6733654B"/>
    <w:rsid w:val="67401BE3"/>
    <w:rsid w:val="679987D7"/>
    <w:rsid w:val="67AA0FAC"/>
    <w:rsid w:val="67F8205B"/>
    <w:rsid w:val="686CD06D"/>
    <w:rsid w:val="697EE023"/>
    <w:rsid w:val="6A562215"/>
    <w:rsid w:val="6A992299"/>
    <w:rsid w:val="6ABB5627"/>
    <w:rsid w:val="6B5707BC"/>
    <w:rsid w:val="6B74D996"/>
    <w:rsid w:val="6BC76DD6"/>
    <w:rsid w:val="6BEA5551"/>
    <w:rsid w:val="6C428D5F"/>
    <w:rsid w:val="6CDC88C8"/>
    <w:rsid w:val="6CF5C15C"/>
    <w:rsid w:val="6DFA7F12"/>
    <w:rsid w:val="6E9A8D29"/>
    <w:rsid w:val="6EA40E00"/>
    <w:rsid w:val="6F1274B8"/>
    <w:rsid w:val="70290265"/>
    <w:rsid w:val="7039D2D9"/>
    <w:rsid w:val="705D08D2"/>
    <w:rsid w:val="706A477C"/>
    <w:rsid w:val="708F3523"/>
    <w:rsid w:val="7185F3A1"/>
    <w:rsid w:val="731811F7"/>
    <w:rsid w:val="75B05A89"/>
    <w:rsid w:val="75B73F02"/>
    <w:rsid w:val="7661E33E"/>
    <w:rsid w:val="76B145BF"/>
    <w:rsid w:val="781EE1D5"/>
    <w:rsid w:val="7B5076C0"/>
    <w:rsid w:val="7C8F2F7F"/>
    <w:rsid w:val="7D80C97E"/>
    <w:rsid w:val="7F1358AB"/>
    <w:rsid w:val="7F1CBD7C"/>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260E3"/>
  <w15:chartTrackingRefBased/>
  <w15:docId w15:val="{E04417FA-3F28-4EBA-A89B-AE65BD93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6E6"/>
    <w:pPr>
      <w:spacing w:after="0" w:line="276" w:lineRule="auto"/>
      <w:jc w:val="both"/>
    </w:pPr>
    <w:rPr>
      <w:rFonts w:ascii="Verdana" w:eastAsia="Calibri" w:hAnsi="Verdana" w:cs="Times New Roman"/>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 1,Liste Niveau 1,Paragraphe + puce,Lettre d'introduction,List Paragraph1,Numbered paragraph 1,tiret2,Paragraphe de liste1"/>
    <w:basedOn w:val="Normal"/>
    <w:link w:val="ParagraphedelisteCar"/>
    <w:uiPriority w:val="34"/>
    <w:qFormat/>
    <w:rsid w:val="000416E6"/>
    <w:pPr>
      <w:ind w:left="720"/>
      <w:contextualSpacing/>
    </w:pPr>
  </w:style>
  <w:style w:type="character" w:styleId="Lienhypertexte">
    <w:name w:val="Hyperlink"/>
    <w:rsid w:val="000416E6"/>
    <w:rPr>
      <w:color w:val="0000FF"/>
      <w:u w:val="single"/>
    </w:rPr>
  </w:style>
  <w:style w:type="character" w:styleId="Marquedecommentaire">
    <w:name w:val="annotation reference"/>
    <w:basedOn w:val="Policepardfaut"/>
    <w:uiPriority w:val="99"/>
    <w:semiHidden/>
    <w:unhideWhenUsed/>
    <w:rsid w:val="000416E6"/>
    <w:rPr>
      <w:sz w:val="16"/>
      <w:szCs w:val="16"/>
    </w:rPr>
  </w:style>
  <w:style w:type="character" w:customStyle="1" w:styleId="ParagraphedelisteCar">
    <w:name w:val="Paragraphe de liste Car"/>
    <w:aliases w:val="Bullet 1 Car,Liste Niveau 1 Car,Paragraphe + puce Car,Lettre d'introduction Car,List Paragraph1 Car,Numbered paragraph 1 Car,tiret2 Car,Paragraphe de liste1 Car"/>
    <w:link w:val="Paragraphedeliste"/>
    <w:uiPriority w:val="34"/>
    <w:rsid w:val="000416E6"/>
    <w:rPr>
      <w:rFonts w:ascii="Verdana" w:eastAsia="Calibri" w:hAnsi="Verdana" w:cs="Times New Roman"/>
      <w:kern w:val="0"/>
      <w14:ligatures w14:val="none"/>
    </w:rPr>
  </w:style>
  <w:style w:type="paragraph" w:styleId="Notedebasdepage">
    <w:name w:val="footnote text"/>
    <w:basedOn w:val="Normal"/>
    <w:link w:val="NotedebasdepageCar"/>
    <w:uiPriority w:val="99"/>
    <w:semiHidden/>
    <w:unhideWhenUsed/>
    <w:rsid w:val="000416E6"/>
    <w:pPr>
      <w:spacing w:line="240" w:lineRule="auto"/>
    </w:pPr>
    <w:rPr>
      <w:sz w:val="20"/>
      <w:szCs w:val="20"/>
    </w:rPr>
  </w:style>
  <w:style w:type="character" w:customStyle="1" w:styleId="NotedebasdepageCar">
    <w:name w:val="Note de bas de page Car"/>
    <w:basedOn w:val="Policepardfaut"/>
    <w:link w:val="Notedebasdepage"/>
    <w:uiPriority w:val="99"/>
    <w:semiHidden/>
    <w:rsid w:val="000416E6"/>
    <w:rPr>
      <w:rFonts w:ascii="Verdana" w:eastAsia="Calibri" w:hAnsi="Verdana" w:cs="Times New Roman"/>
      <w:kern w:val="0"/>
      <w:sz w:val="20"/>
      <w:szCs w:val="20"/>
      <w14:ligatures w14:val="none"/>
    </w:rPr>
  </w:style>
  <w:style w:type="character" w:styleId="Appelnotedebasdep">
    <w:name w:val="footnote reference"/>
    <w:basedOn w:val="Policepardfaut"/>
    <w:uiPriority w:val="99"/>
    <w:semiHidden/>
    <w:unhideWhenUsed/>
    <w:rsid w:val="000416E6"/>
    <w:rPr>
      <w:vertAlign w:val="superscript"/>
    </w:rPr>
  </w:style>
  <w:style w:type="paragraph" w:customStyle="1" w:styleId="Default">
    <w:name w:val="Default"/>
    <w:rsid w:val="000416E6"/>
    <w:pPr>
      <w:autoSpaceDE w:val="0"/>
      <w:autoSpaceDN w:val="0"/>
      <w:adjustRightInd w:val="0"/>
      <w:spacing w:after="0" w:line="240" w:lineRule="auto"/>
    </w:pPr>
    <w:rPr>
      <w:rFonts w:ascii="Open Sans" w:hAnsi="Open Sans" w:cs="Open Sans"/>
      <w:color w:val="000000"/>
      <w:kern w:val="0"/>
      <w:sz w:val="24"/>
      <w:szCs w:val="24"/>
      <w14:ligatures w14:val="none"/>
    </w:rPr>
  </w:style>
  <w:style w:type="paragraph" w:styleId="Rvision">
    <w:name w:val="Revision"/>
    <w:hidden/>
    <w:uiPriority w:val="99"/>
    <w:semiHidden/>
    <w:rsid w:val="000416E6"/>
    <w:pPr>
      <w:spacing w:after="0" w:line="240" w:lineRule="auto"/>
    </w:pPr>
    <w:rPr>
      <w:rFonts w:ascii="Verdana" w:eastAsia="Calibri" w:hAnsi="Verdana" w:cs="Times New Roman"/>
      <w:kern w:val="0"/>
      <w14:ligatures w14:val="none"/>
    </w:rPr>
  </w:style>
  <w:style w:type="paragraph" w:styleId="En-tte">
    <w:name w:val="header"/>
    <w:basedOn w:val="Normal"/>
    <w:link w:val="En-tteCar"/>
    <w:uiPriority w:val="99"/>
    <w:unhideWhenUsed/>
    <w:rsid w:val="000416E6"/>
    <w:pPr>
      <w:tabs>
        <w:tab w:val="center" w:pos="4536"/>
        <w:tab w:val="right" w:pos="9072"/>
      </w:tabs>
      <w:spacing w:line="240" w:lineRule="auto"/>
    </w:pPr>
  </w:style>
  <w:style w:type="character" w:customStyle="1" w:styleId="En-tteCar">
    <w:name w:val="En-tête Car"/>
    <w:basedOn w:val="Policepardfaut"/>
    <w:link w:val="En-tte"/>
    <w:uiPriority w:val="99"/>
    <w:rsid w:val="000416E6"/>
    <w:rPr>
      <w:rFonts w:ascii="Verdana" w:eastAsia="Calibri" w:hAnsi="Verdana" w:cs="Times New Roman"/>
      <w:kern w:val="0"/>
      <w14:ligatures w14:val="none"/>
    </w:rPr>
  </w:style>
  <w:style w:type="paragraph" w:styleId="Pieddepage">
    <w:name w:val="footer"/>
    <w:basedOn w:val="Normal"/>
    <w:link w:val="PieddepageCar"/>
    <w:uiPriority w:val="99"/>
    <w:unhideWhenUsed/>
    <w:rsid w:val="000416E6"/>
    <w:pPr>
      <w:tabs>
        <w:tab w:val="center" w:pos="4536"/>
        <w:tab w:val="right" w:pos="9072"/>
      </w:tabs>
      <w:spacing w:line="240" w:lineRule="auto"/>
    </w:pPr>
  </w:style>
  <w:style w:type="character" w:customStyle="1" w:styleId="PieddepageCar">
    <w:name w:val="Pied de page Car"/>
    <w:basedOn w:val="Policepardfaut"/>
    <w:link w:val="Pieddepage"/>
    <w:uiPriority w:val="99"/>
    <w:rsid w:val="000416E6"/>
    <w:rPr>
      <w:rFonts w:ascii="Verdana" w:eastAsia="Calibri" w:hAnsi="Verdana" w:cs="Times New Roman"/>
      <w:kern w:val="0"/>
      <w14:ligatures w14:val="none"/>
    </w:rPr>
  </w:style>
  <w:style w:type="paragraph" w:styleId="Commentaire">
    <w:name w:val="annotation text"/>
    <w:basedOn w:val="Normal"/>
    <w:link w:val="CommentaireCar"/>
    <w:uiPriority w:val="99"/>
    <w:unhideWhenUsed/>
    <w:rsid w:val="00CF59A8"/>
    <w:pPr>
      <w:spacing w:line="240" w:lineRule="auto"/>
    </w:pPr>
    <w:rPr>
      <w:sz w:val="20"/>
      <w:szCs w:val="20"/>
    </w:rPr>
  </w:style>
  <w:style w:type="character" w:customStyle="1" w:styleId="CommentaireCar">
    <w:name w:val="Commentaire Car"/>
    <w:basedOn w:val="Policepardfaut"/>
    <w:link w:val="Commentaire"/>
    <w:uiPriority w:val="99"/>
    <w:rsid w:val="00CF59A8"/>
    <w:rPr>
      <w:rFonts w:ascii="Verdana" w:eastAsia="Calibri" w:hAnsi="Verdana" w:cs="Times New Roman"/>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CF59A8"/>
    <w:rPr>
      <w:b/>
      <w:bCs/>
    </w:rPr>
  </w:style>
  <w:style w:type="character" w:customStyle="1" w:styleId="ObjetducommentaireCar">
    <w:name w:val="Objet du commentaire Car"/>
    <w:basedOn w:val="CommentaireCar"/>
    <w:link w:val="Objetducommentaire"/>
    <w:uiPriority w:val="99"/>
    <w:semiHidden/>
    <w:rsid w:val="00CF59A8"/>
    <w:rPr>
      <w:rFonts w:ascii="Verdana" w:eastAsia="Calibri" w:hAnsi="Verdana" w:cs="Times New Roman"/>
      <w:b/>
      <w:bCs/>
      <w:kern w:val="0"/>
      <w:sz w:val="20"/>
      <w:szCs w:val="20"/>
      <w14:ligatures w14:val="none"/>
    </w:rPr>
  </w:style>
  <w:style w:type="character" w:styleId="Mentionnonrsolue">
    <w:name w:val="Unresolved Mention"/>
    <w:basedOn w:val="Policepardfaut"/>
    <w:uiPriority w:val="99"/>
    <w:semiHidden/>
    <w:unhideWhenUsed/>
    <w:rsid w:val="0078713E"/>
    <w:rPr>
      <w:color w:val="605E5C"/>
      <w:shd w:val="clear" w:color="auto" w:fill="E1DFDD"/>
    </w:rPr>
  </w:style>
  <w:style w:type="character" w:styleId="Lienhypertextesuivivisit">
    <w:name w:val="FollowedHyperlink"/>
    <w:basedOn w:val="Policepardfaut"/>
    <w:uiPriority w:val="99"/>
    <w:semiHidden/>
    <w:unhideWhenUsed/>
    <w:rsid w:val="0078713E"/>
    <w:rPr>
      <w:color w:val="954F72" w:themeColor="followedHyperlink"/>
      <w:u w:val="single"/>
    </w:rPr>
  </w:style>
  <w:style w:type="character" w:styleId="Mention">
    <w:name w:val="Mention"/>
    <w:basedOn w:val="Policepardfaut"/>
    <w:uiPriority w:val="99"/>
    <w:unhideWhenUsed/>
    <w:rsid w:val="004E737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onomie.wallonie.be/home/strategies/reporting.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1e2804-7fb4-4481-b584-e94ed64da38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8F85F54D654C043BA82D0B777A0CD4F" ma:contentTypeVersion="13" ma:contentTypeDescription="Crée un document." ma:contentTypeScope="" ma:versionID="ea93379b51a4f691639dca1f8c8808e5">
  <xsd:schema xmlns:xsd="http://www.w3.org/2001/XMLSchema" xmlns:xs="http://www.w3.org/2001/XMLSchema" xmlns:p="http://schemas.microsoft.com/office/2006/metadata/properties" xmlns:ns2="841e2804-7fb4-4481-b584-e94ed64da382" xmlns:ns3="c985a305-e7d9-4046-97ed-009f56aacbff" targetNamespace="http://schemas.microsoft.com/office/2006/metadata/properties" ma:root="true" ma:fieldsID="f1a91f33a80043063fcd4f90c3276da7" ns2:_="" ns3:_="">
    <xsd:import namespace="841e2804-7fb4-4481-b584-e94ed64da382"/>
    <xsd:import namespace="c985a305-e7d9-4046-97ed-009f56aacb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e2804-7fb4-4481-b584-e94ed64da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85a305-e7d9-4046-97ed-009f56aacbff"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ECEA28-56C8-4FDA-8F0F-B02B0F598C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C5601D-B395-4343-A8B7-107B93EA1F4A}">
  <ds:schemaRefs>
    <ds:schemaRef ds:uri="http://schemas.openxmlformats.org/officeDocument/2006/bibliography"/>
  </ds:schemaRefs>
</ds:datastoreItem>
</file>

<file path=customXml/itemProps3.xml><?xml version="1.0" encoding="utf-8"?>
<ds:datastoreItem xmlns:ds="http://schemas.openxmlformats.org/officeDocument/2006/customXml" ds:itemID="{6EEDF726-3676-4949-838D-BE813543E4B0}"/>
</file>

<file path=customXml/itemProps4.xml><?xml version="1.0" encoding="utf-8"?>
<ds:datastoreItem xmlns:ds="http://schemas.openxmlformats.org/officeDocument/2006/customXml" ds:itemID="{93DA2132-6DBC-418F-A9D2-7522F6AC26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2288</Words>
  <Characters>12590</Characters>
  <Application>Microsoft Office Word</Application>
  <DocSecurity>0</DocSecurity>
  <Lines>104</Lines>
  <Paragraphs>29</Paragraphs>
  <ScaleCrop>false</ScaleCrop>
  <Company/>
  <LinksUpToDate>false</LinksUpToDate>
  <CharactersWithSpaces>14849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PARENT Christine</dc:creator>
  <cp:keywords/>
  <dc:description/>
  <cp:lastModifiedBy>PARENT Christine</cp:lastModifiedBy>
  <cp:revision>12</cp:revision>
  <dcterms:created xsi:type="dcterms:W3CDTF">2025-01-31T09:11:00Z</dcterms:created>
  <dcterms:modified xsi:type="dcterms:W3CDTF">2025-06-27T10:10:00Z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2025-01-14T08:27:57Z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4517a129-26b4-40af-9f3c-85661ddfee56</vt:lpwstr>
  </property>
  <property fmtid="{D5CDD505-2E9C-101B-9397-08002B2CF9AE}" pid="8" name="MSIP_Label_97a477d1-147d-4e34-b5e3-7b26d2f44870_ContentBits">
    <vt:lpwstr>0</vt:lpwstr>
  </property>
  <property fmtid="{D5CDD505-2E9C-101B-9397-08002B2CF9AE}" pid="9" name="ContentTypeId">
    <vt:lpwstr>0x01010098F85F54D654C043BA82D0B777A0CD4F</vt:lpwstr>
  </property>
  <property fmtid="{D5CDD505-2E9C-101B-9397-08002B2CF9AE}" pid="10" name="MediaServiceImageTags">
    <vt:lpwstr/>
  </property>
  <property fmtid="{D5CDD505-2E9C-101B-9397-08002B2CF9AE}" pid="11" name="Order">
    <vt:r8>25800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_SourceUrl">
    <vt:lpwstr/>
  </property>
  <property fmtid="{D5CDD505-2E9C-101B-9397-08002B2CF9AE}" pid="19" name="_SharedFileIndex">
    <vt:lpwstr/>
  </property>
</Properties>
</file>